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105" w:rsidRPr="008E0EF3" w:rsidRDefault="00F42D12" w:rsidP="00F42D12">
      <w:pPr>
        <w:jc w:val="center"/>
        <w:rPr>
          <w:b/>
          <w:sz w:val="28"/>
        </w:rPr>
      </w:pPr>
      <w:r w:rsidRPr="008E0EF3">
        <w:rPr>
          <w:b/>
          <w:sz w:val="28"/>
        </w:rPr>
        <w:t>Dr. Horváth- Dr. Jakab Ügyvédi Iroda Adatkezelési Szabályzata</w:t>
      </w:r>
    </w:p>
    <w:p w:rsidR="004B3DEB" w:rsidRDefault="004B3DEB" w:rsidP="00F42D12">
      <w:pPr>
        <w:jc w:val="center"/>
        <w:rPr>
          <w:b/>
        </w:rPr>
      </w:pPr>
    </w:p>
    <w:p w:rsidR="004B3DEB" w:rsidRDefault="004B3DEB" w:rsidP="008E0EF3">
      <w:pPr>
        <w:pStyle w:val="TJ1"/>
        <w:tabs>
          <w:tab w:val="left" w:pos="440"/>
          <w:tab w:val="right" w:leader="dot" w:pos="9062"/>
        </w:tabs>
        <w:jc w:val="both"/>
        <w:rPr>
          <w:noProof/>
        </w:rPr>
      </w:pPr>
      <w:r>
        <w:rPr>
          <w:b/>
        </w:rPr>
        <w:fldChar w:fldCharType="begin"/>
      </w:r>
      <w:r>
        <w:rPr>
          <w:b/>
        </w:rPr>
        <w:instrText xml:space="preserve"> TOC \o "1-3" \h \z \u </w:instrText>
      </w:r>
      <w:r>
        <w:rPr>
          <w:b/>
        </w:rPr>
        <w:fldChar w:fldCharType="separate"/>
      </w:r>
      <w:hyperlink w:anchor="_Toc431820712" w:history="1">
        <w:r w:rsidRPr="00253726">
          <w:rPr>
            <w:rStyle w:val="Hiperhivatkozs"/>
            <w:noProof/>
          </w:rPr>
          <w:t>I.</w:t>
        </w:r>
        <w:r>
          <w:rPr>
            <w:noProof/>
          </w:rPr>
          <w:tab/>
        </w:r>
        <w:r w:rsidRPr="00253726">
          <w:rPr>
            <w:rStyle w:val="Hiperhivatkozs"/>
            <w:noProof/>
          </w:rPr>
          <w:t>Szabályzat célja, hatálya</w:t>
        </w:r>
        <w:r>
          <w:rPr>
            <w:noProof/>
            <w:webHidden/>
          </w:rPr>
          <w:tab/>
        </w:r>
        <w:r>
          <w:rPr>
            <w:noProof/>
            <w:webHidden/>
          </w:rPr>
          <w:fldChar w:fldCharType="begin"/>
        </w:r>
        <w:r>
          <w:rPr>
            <w:noProof/>
            <w:webHidden/>
          </w:rPr>
          <w:instrText xml:space="preserve"> PAGEREF _Toc431820712 \h </w:instrText>
        </w:r>
        <w:r>
          <w:rPr>
            <w:noProof/>
            <w:webHidden/>
          </w:rPr>
        </w:r>
        <w:r>
          <w:rPr>
            <w:noProof/>
            <w:webHidden/>
          </w:rPr>
          <w:fldChar w:fldCharType="separate"/>
        </w:r>
        <w:r w:rsidR="00FD00FA">
          <w:rPr>
            <w:noProof/>
            <w:webHidden/>
          </w:rPr>
          <w:t>2</w:t>
        </w:r>
        <w:r>
          <w:rPr>
            <w:noProof/>
            <w:webHidden/>
          </w:rPr>
          <w:fldChar w:fldCharType="end"/>
        </w:r>
      </w:hyperlink>
    </w:p>
    <w:p w:rsidR="004B3DEB" w:rsidRDefault="003250DE" w:rsidP="008E0EF3">
      <w:pPr>
        <w:pStyle w:val="TJ2"/>
        <w:tabs>
          <w:tab w:val="right" w:leader="dot" w:pos="9062"/>
        </w:tabs>
        <w:jc w:val="both"/>
        <w:rPr>
          <w:noProof/>
        </w:rPr>
      </w:pPr>
      <w:hyperlink w:anchor="_Toc431820713" w:history="1">
        <w:r w:rsidR="004B3DEB" w:rsidRPr="00253726">
          <w:rPr>
            <w:rStyle w:val="Hiperhivatkozs"/>
            <w:noProof/>
          </w:rPr>
          <w:t>I.1. Adatkezelési Szabályzat célja</w:t>
        </w:r>
        <w:r w:rsidR="004B3DEB">
          <w:rPr>
            <w:noProof/>
            <w:webHidden/>
          </w:rPr>
          <w:tab/>
        </w:r>
        <w:r w:rsidR="004B3DEB">
          <w:rPr>
            <w:noProof/>
            <w:webHidden/>
          </w:rPr>
          <w:fldChar w:fldCharType="begin"/>
        </w:r>
        <w:r w:rsidR="004B3DEB">
          <w:rPr>
            <w:noProof/>
            <w:webHidden/>
          </w:rPr>
          <w:instrText xml:space="preserve"> PAGEREF _Toc431820713 \h </w:instrText>
        </w:r>
        <w:r w:rsidR="004B3DEB">
          <w:rPr>
            <w:noProof/>
            <w:webHidden/>
          </w:rPr>
        </w:r>
        <w:r w:rsidR="004B3DEB">
          <w:rPr>
            <w:noProof/>
            <w:webHidden/>
          </w:rPr>
          <w:fldChar w:fldCharType="separate"/>
        </w:r>
        <w:r w:rsidR="00FD00FA">
          <w:rPr>
            <w:noProof/>
            <w:webHidden/>
          </w:rPr>
          <w:t>2</w:t>
        </w:r>
        <w:r w:rsidR="004B3DEB">
          <w:rPr>
            <w:noProof/>
            <w:webHidden/>
          </w:rPr>
          <w:fldChar w:fldCharType="end"/>
        </w:r>
      </w:hyperlink>
    </w:p>
    <w:p w:rsidR="004B3DEB" w:rsidRDefault="003250DE" w:rsidP="008E0EF3">
      <w:pPr>
        <w:pStyle w:val="TJ2"/>
        <w:tabs>
          <w:tab w:val="right" w:leader="dot" w:pos="9062"/>
        </w:tabs>
        <w:jc w:val="both"/>
        <w:rPr>
          <w:noProof/>
        </w:rPr>
      </w:pPr>
      <w:hyperlink w:anchor="_Toc431820714" w:history="1">
        <w:r w:rsidR="004B3DEB" w:rsidRPr="00253726">
          <w:rPr>
            <w:rStyle w:val="Hiperhivatkozs"/>
            <w:noProof/>
          </w:rPr>
          <w:t>I.2. Szabályzat hatálya</w:t>
        </w:r>
        <w:r w:rsidR="004B3DEB">
          <w:rPr>
            <w:noProof/>
            <w:webHidden/>
          </w:rPr>
          <w:tab/>
        </w:r>
        <w:r w:rsidR="004B3DEB">
          <w:rPr>
            <w:noProof/>
            <w:webHidden/>
          </w:rPr>
          <w:fldChar w:fldCharType="begin"/>
        </w:r>
        <w:r w:rsidR="004B3DEB">
          <w:rPr>
            <w:noProof/>
            <w:webHidden/>
          </w:rPr>
          <w:instrText xml:space="preserve"> PAGEREF _Toc431820714 \h </w:instrText>
        </w:r>
        <w:r w:rsidR="004B3DEB">
          <w:rPr>
            <w:noProof/>
            <w:webHidden/>
          </w:rPr>
        </w:r>
        <w:r w:rsidR="004B3DEB">
          <w:rPr>
            <w:noProof/>
            <w:webHidden/>
          </w:rPr>
          <w:fldChar w:fldCharType="separate"/>
        </w:r>
        <w:r w:rsidR="00FD00FA">
          <w:rPr>
            <w:noProof/>
            <w:webHidden/>
          </w:rPr>
          <w:t>2</w:t>
        </w:r>
        <w:r w:rsidR="004B3DEB">
          <w:rPr>
            <w:noProof/>
            <w:webHidden/>
          </w:rPr>
          <w:fldChar w:fldCharType="end"/>
        </w:r>
      </w:hyperlink>
    </w:p>
    <w:p w:rsidR="004B3DEB" w:rsidRDefault="003250DE" w:rsidP="008E0EF3">
      <w:pPr>
        <w:pStyle w:val="TJ1"/>
        <w:tabs>
          <w:tab w:val="left" w:pos="440"/>
          <w:tab w:val="right" w:leader="dot" w:pos="9062"/>
        </w:tabs>
        <w:jc w:val="both"/>
        <w:rPr>
          <w:noProof/>
        </w:rPr>
      </w:pPr>
      <w:hyperlink w:anchor="_Toc431820715" w:history="1">
        <w:r w:rsidR="004B3DEB" w:rsidRPr="00253726">
          <w:rPr>
            <w:rStyle w:val="Hiperhivatkozs"/>
            <w:noProof/>
          </w:rPr>
          <w:t>II.</w:t>
        </w:r>
        <w:r w:rsidR="004B3DEB">
          <w:rPr>
            <w:noProof/>
          </w:rPr>
          <w:tab/>
        </w:r>
        <w:r w:rsidR="004B3DEB" w:rsidRPr="00253726">
          <w:rPr>
            <w:rStyle w:val="Hiperhivatkozs"/>
            <w:noProof/>
          </w:rPr>
          <w:t>Jogszabályi hivatkozás, szabályzat kapcsolata az Iroda egyéb belső szabályzatokkal</w:t>
        </w:r>
        <w:r w:rsidR="004B3DEB">
          <w:rPr>
            <w:noProof/>
            <w:webHidden/>
          </w:rPr>
          <w:tab/>
        </w:r>
        <w:r w:rsidR="004B3DEB">
          <w:rPr>
            <w:noProof/>
            <w:webHidden/>
          </w:rPr>
          <w:fldChar w:fldCharType="begin"/>
        </w:r>
        <w:r w:rsidR="004B3DEB">
          <w:rPr>
            <w:noProof/>
            <w:webHidden/>
          </w:rPr>
          <w:instrText xml:space="preserve"> PAGEREF _Toc431820715 \h </w:instrText>
        </w:r>
        <w:r w:rsidR="004B3DEB">
          <w:rPr>
            <w:noProof/>
            <w:webHidden/>
          </w:rPr>
        </w:r>
        <w:r w:rsidR="004B3DEB">
          <w:rPr>
            <w:noProof/>
            <w:webHidden/>
          </w:rPr>
          <w:fldChar w:fldCharType="separate"/>
        </w:r>
        <w:r w:rsidR="00FD00FA">
          <w:rPr>
            <w:noProof/>
            <w:webHidden/>
          </w:rPr>
          <w:t>2</w:t>
        </w:r>
        <w:r w:rsidR="004B3DEB">
          <w:rPr>
            <w:noProof/>
            <w:webHidden/>
          </w:rPr>
          <w:fldChar w:fldCharType="end"/>
        </w:r>
      </w:hyperlink>
    </w:p>
    <w:p w:rsidR="004B3DEB" w:rsidRDefault="003250DE" w:rsidP="008E0EF3">
      <w:pPr>
        <w:pStyle w:val="TJ1"/>
        <w:tabs>
          <w:tab w:val="left" w:pos="660"/>
          <w:tab w:val="right" w:leader="dot" w:pos="9062"/>
        </w:tabs>
        <w:jc w:val="both"/>
        <w:rPr>
          <w:noProof/>
        </w:rPr>
      </w:pPr>
      <w:hyperlink w:anchor="_Toc431820716" w:history="1">
        <w:r w:rsidR="004B3DEB" w:rsidRPr="00253726">
          <w:rPr>
            <w:rStyle w:val="Hiperhivatkozs"/>
            <w:noProof/>
          </w:rPr>
          <w:t>III.</w:t>
        </w:r>
        <w:r w:rsidR="004B3DEB">
          <w:rPr>
            <w:noProof/>
          </w:rPr>
          <w:tab/>
        </w:r>
        <w:r w:rsidR="004B3DEB" w:rsidRPr="00253726">
          <w:rPr>
            <w:rStyle w:val="Hiperhivatkozs"/>
            <w:noProof/>
          </w:rPr>
          <w:t>Értelmező rendelkezések</w:t>
        </w:r>
        <w:r w:rsidR="004B3DEB">
          <w:rPr>
            <w:noProof/>
            <w:webHidden/>
          </w:rPr>
          <w:tab/>
        </w:r>
        <w:r w:rsidR="004B3DEB">
          <w:rPr>
            <w:noProof/>
            <w:webHidden/>
          </w:rPr>
          <w:fldChar w:fldCharType="begin"/>
        </w:r>
        <w:r w:rsidR="004B3DEB">
          <w:rPr>
            <w:noProof/>
            <w:webHidden/>
          </w:rPr>
          <w:instrText xml:space="preserve"> PAGEREF _Toc431820716 \h </w:instrText>
        </w:r>
        <w:r w:rsidR="004B3DEB">
          <w:rPr>
            <w:noProof/>
            <w:webHidden/>
          </w:rPr>
        </w:r>
        <w:r w:rsidR="004B3DEB">
          <w:rPr>
            <w:noProof/>
            <w:webHidden/>
          </w:rPr>
          <w:fldChar w:fldCharType="separate"/>
        </w:r>
        <w:r w:rsidR="00FD00FA">
          <w:rPr>
            <w:noProof/>
            <w:webHidden/>
          </w:rPr>
          <w:t>2</w:t>
        </w:r>
        <w:r w:rsidR="004B3DEB">
          <w:rPr>
            <w:noProof/>
            <w:webHidden/>
          </w:rPr>
          <w:fldChar w:fldCharType="end"/>
        </w:r>
      </w:hyperlink>
    </w:p>
    <w:p w:rsidR="004B3DEB" w:rsidRDefault="003250DE" w:rsidP="008E0EF3">
      <w:pPr>
        <w:pStyle w:val="TJ1"/>
        <w:tabs>
          <w:tab w:val="left" w:pos="660"/>
          <w:tab w:val="right" w:leader="dot" w:pos="9062"/>
        </w:tabs>
        <w:jc w:val="both"/>
        <w:rPr>
          <w:noProof/>
        </w:rPr>
      </w:pPr>
      <w:hyperlink w:anchor="_Toc431820717" w:history="1">
        <w:r w:rsidR="004B3DEB" w:rsidRPr="00253726">
          <w:rPr>
            <w:rStyle w:val="Hiperhivatkozs"/>
            <w:noProof/>
          </w:rPr>
          <w:t>IV.</w:t>
        </w:r>
        <w:r w:rsidR="004B3DEB">
          <w:rPr>
            <w:noProof/>
          </w:rPr>
          <w:tab/>
        </w:r>
        <w:r w:rsidR="004B3DEB" w:rsidRPr="00253726">
          <w:rPr>
            <w:rStyle w:val="Hiperhivatkozs"/>
            <w:noProof/>
          </w:rPr>
          <w:t>Adatvédelem</w:t>
        </w:r>
        <w:r w:rsidR="004B3DEB">
          <w:rPr>
            <w:noProof/>
            <w:webHidden/>
          </w:rPr>
          <w:tab/>
        </w:r>
        <w:r w:rsidR="004B3DEB">
          <w:rPr>
            <w:noProof/>
            <w:webHidden/>
          </w:rPr>
          <w:fldChar w:fldCharType="begin"/>
        </w:r>
        <w:r w:rsidR="004B3DEB">
          <w:rPr>
            <w:noProof/>
            <w:webHidden/>
          </w:rPr>
          <w:instrText xml:space="preserve"> PAGEREF _Toc431820717 \h </w:instrText>
        </w:r>
        <w:r w:rsidR="004B3DEB">
          <w:rPr>
            <w:noProof/>
            <w:webHidden/>
          </w:rPr>
        </w:r>
        <w:r w:rsidR="004B3DEB">
          <w:rPr>
            <w:noProof/>
            <w:webHidden/>
          </w:rPr>
          <w:fldChar w:fldCharType="separate"/>
        </w:r>
        <w:r w:rsidR="00FD00FA">
          <w:rPr>
            <w:noProof/>
            <w:webHidden/>
          </w:rPr>
          <w:t>3</w:t>
        </w:r>
        <w:r w:rsidR="004B3DEB">
          <w:rPr>
            <w:noProof/>
            <w:webHidden/>
          </w:rPr>
          <w:fldChar w:fldCharType="end"/>
        </w:r>
      </w:hyperlink>
    </w:p>
    <w:p w:rsidR="004B3DEB" w:rsidRDefault="003250DE" w:rsidP="008E0EF3">
      <w:pPr>
        <w:pStyle w:val="TJ2"/>
        <w:tabs>
          <w:tab w:val="right" w:leader="dot" w:pos="9062"/>
        </w:tabs>
        <w:jc w:val="both"/>
        <w:rPr>
          <w:noProof/>
        </w:rPr>
      </w:pPr>
      <w:hyperlink w:anchor="_Toc431820718" w:history="1">
        <w:r w:rsidR="004B3DEB" w:rsidRPr="00253726">
          <w:rPr>
            <w:rStyle w:val="Hiperhivatkozs"/>
            <w:noProof/>
          </w:rPr>
          <w:t>IV.1. Adatkezelés elvei, szabályai</w:t>
        </w:r>
        <w:r w:rsidR="004B3DEB">
          <w:rPr>
            <w:noProof/>
            <w:webHidden/>
          </w:rPr>
          <w:tab/>
        </w:r>
        <w:r w:rsidR="004B3DEB">
          <w:rPr>
            <w:noProof/>
            <w:webHidden/>
          </w:rPr>
          <w:fldChar w:fldCharType="begin"/>
        </w:r>
        <w:r w:rsidR="004B3DEB">
          <w:rPr>
            <w:noProof/>
            <w:webHidden/>
          </w:rPr>
          <w:instrText xml:space="preserve"> PAGEREF _Toc431820718 \h </w:instrText>
        </w:r>
        <w:r w:rsidR="004B3DEB">
          <w:rPr>
            <w:noProof/>
            <w:webHidden/>
          </w:rPr>
        </w:r>
        <w:r w:rsidR="004B3DEB">
          <w:rPr>
            <w:noProof/>
            <w:webHidden/>
          </w:rPr>
          <w:fldChar w:fldCharType="separate"/>
        </w:r>
        <w:r w:rsidR="00FD00FA">
          <w:rPr>
            <w:noProof/>
            <w:webHidden/>
          </w:rPr>
          <w:t>3</w:t>
        </w:r>
        <w:r w:rsidR="004B3DEB">
          <w:rPr>
            <w:noProof/>
            <w:webHidden/>
          </w:rPr>
          <w:fldChar w:fldCharType="end"/>
        </w:r>
      </w:hyperlink>
    </w:p>
    <w:p w:rsidR="004B3DEB" w:rsidRDefault="003250DE" w:rsidP="008E0EF3">
      <w:pPr>
        <w:pStyle w:val="TJ2"/>
        <w:tabs>
          <w:tab w:val="right" w:leader="dot" w:pos="9062"/>
        </w:tabs>
        <w:jc w:val="both"/>
        <w:rPr>
          <w:noProof/>
        </w:rPr>
      </w:pPr>
      <w:hyperlink w:anchor="_Toc431820719" w:history="1">
        <w:r w:rsidR="004B3DEB" w:rsidRPr="00253726">
          <w:rPr>
            <w:rStyle w:val="Hiperhivatkozs"/>
            <w:noProof/>
          </w:rPr>
          <w:t>IV.2. Érintettek jogai</w:t>
        </w:r>
        <w:r w:rsidR="004B3DEB">
          <w:rPr>
            <w:noProof/>
            <w:webHidden/>
          </w:rPr>
          <w:tab/>
        </w:r>
        <w:r w:rsidR="004B3DEB">
          <w:rPr>
            <w:noProof/>
            <w:webHidden/>
          </w:rPr>
          <w:fldChar w:fldCharType="begin"/>
        </w:r>
        <w:r w:rsidR="004B3DEB">
          <w:rPr>
            <w:noProof/>
            <w:webHidden/>
          </w:rPr>
          <w:instrText xml:space="preserve"> PAGEREF _Toc431820719 \h </w:instrText>
        </w:r>
        <w:r w:rsidR="004B3DEB">
          <w:rPr>
            <w:noProof/>
            <w:webHidden/>
          </w:rPr>
        </w:r>
        <w:r w:rsidR="004B3DEB">
          <w:rPr>
            <w:noProof/>
            <w:webHidden/>
          </w:rPr>
          <w:fldChar w:fldCharType="separate"/>
        </w:r>
        <w:r w:rsidR="00FD00FA">
          <w:rPr>
            <w:noProof/>
            <w:webHidden/>
          </w:rPr>
          <w:t>3</w:t>
        </w:r>
        <w:r w:rsidR="004B3DEB">
          <w:rPr>
            <w:noProof/>
            <w:webHidden/>
          </w:rPr>
          <w:fldChar w:fldCharType="end"/>
        </w:r>
      </w:hyperlink>
    </w:p>
    <w:p w:rsidR="004B3DEB" w:rsidRDefault="003250DE" w:rsidP="008E0EF3">
      <w:pPr>
        <w:pStyle w:val="TJ1"/>
        <w:tabs>
          <w:tab w:val="left" w:pos="440"/>
          <w:tab w:val="right" w:leader="dot" w:pos="9062"/>
        </w:tabs>
        <w:jc w:val="both"/>
        <w:rPr>
          <w:noProof/>
        </w:rPr>
      </w:pPr>
      <w:hyperlink w:anchor="_Toc431820720" w:history="1">
        <w:r w:rsidR="004B3DEB" w:rsidRPr="00253726">
          <w:rPr>
            <w:rStyle w:val="Hiperhivatkozs"/>
            <w:noProof/>
          </w:rPr>
          <w:t>V.</w:t>
        </w:r>
        <w:r w:rsidR="004B3DEB">
          <w:rPr>
            <w:noProof/>
          </w:rPr>
          <w:tab/>
        </w:r>
        <w:r w:rsidR="004B3DEB" w:rsidRPr="00253726">
          <w:rPr>
            <w:rStyle w:val="Hiperhivatkozs"/>
            <w:noProof/>
          </w:rPr>
          <w:t>Adatbiztonság</w:t>
        </w:r>
        <w:r w:rsidR="004B3DEB">
          <w:rPr>
            <w:noProof/>
            <w:webHidden/>
          </w:rPr>
          <w:tab/>
        </w:r>
        <w:r w:rsidR="004B3DEB">
          <w:rPr>
            <w:noProof/>
            <w:webHidden/>
          </w:rPr>
          <w:fldChar w:fldCharType="begin"/>
        </w:r>
        <w:r w:rsidR="004B3DEB">
          <w:rPr>
            <w:noProof/>
            <w:webHidden/>
          </w:rPr>
          <w:instrText xml:space="preserve"> PAGEREF _Toc431820720 \h </w:instrText>
        </w:r>
        <w:r w:rsidR="004B3DEB">
          <w:rPr>
            <w:noProof/>
            <w:webHidden/>
          </w:rPr>
        </w:r>
        <w:r w:rsidR="004B3DEB">
          <w:rPr>
            <w:noProof/>
            <w:webHidden/>
          </w:rPr>
          <w:fldChar w:fldCharType="separate"/>
        </w:r>
        <w:r w:rsidR="00FD00FA">
          <w:rPr>
            <w:noProof/>
            <w:webHidden/>
          </w:rPr>
          <w:t>4</w:t>
        </w:r>
        <w:r w:rsidR="004B3DEB">
          <w:rPr>
            <w:noProof/>
            <w:webHidden/>
          </w:rPr>
          <w:fldChar w:fldCharType="end"/>
        </w:r>
      </w:hyperlink>
    </w:p>
    <w:p w:rsidR="004B3DEB" w:rsidRDefault="003250DE" w:rsidP="008E0EF3">
      <w:pPr>
        <w:pStyle w:val="TJ1"/>
        <w:tabs>
          <w:tab w:val="left" w:pos="660"/>
          <w:tab w:val="right" w:leader="dot" w:pos="9062"/>
        </w:tabs>
        <w:jc w:val="both"/>
        <w:rPr>
          <w:noProof/>
        </w:rPr>
      </w:pPr>
      <w:hyperlink w:anchor="_Toc431820721" w:history="1">
        <w:r w:rsidR="004B3DEB" w:rsidRPr="00253726">
          <w:rPr>
            <w:rStyle w:val="Hiperhivatkozs"/>
            <w:noProof/>
          </w:rPr>
          <w:t>VI.</w:t>
        </w:r>
        <w:r w:rsidR="004B3DEB">
          <w:rPr>
            <w:noProof/>
          </w:rPr>
          <w:tab/>
        </w:r>
        <w:r w:rsidR="004B3DEB" w:rsidRPr="00253726">
          <w:rPr>
            <w:rStyle w:val="Hiperhivatkozs"/>
            <w:noProof/>
          </w:rPr>
          <w:t>Titoktartási kötelezettség</w:t>
        </w:r>
        <w:r w:rsidR="004B3DEB">
          <w:rPr>
            <w:noProof/>
            <w:webHidden/>
          </w:rPr>
          <w:tab/>
        </w:r>
        <w:r w:rsidR="004B3DEB">
          <w:rPr>
            <w:noProof/>
            <w:webHidden/>
          </w:rPr>
          <w:fldChar w:fldCharType="begin"/>
        </w:r>
        <w:r w:rsidR="004B3DEB">
          <w:rPr>
            <w:noProof/>
            <w:webHidden/>
          </w:rPr>
          <w:instrText xml:space="preserve"> PAGEREF _Toc431820721 \h </w:instrText>
        </w:r>
        <w:r w:rsidR="004B3DEB">
          <w:rPr>
            <w:noProof/>
            <w:webHidden/>
          </w:rPr>
        </w:r>
        <w:r w:rsidR="004B3DEB">
          <w:rPr>
            <w:noProof/>
            <w:webHidden/>
          </w:rPr>
          <w:fldChar w:fldCharType="separate"/>
        </w:r>
        <w:r w:rsidR="00FD00FA">
          <w:rPr>
            <w:noProof/>
            <w:webHidden/>
          </w:rPr>
          <w:t>4</w:t>
        </w:r>
        <w:r w:rsidR="004B3DEB">
          <w:rPr>
            <w:noProof/>
            <w:webHidden/>
          </w:rPr>
          <w:fldChar w:fldCharType="end"/>
        </w:r>
      </w:hyperlink>
    </w:p>
    <w:p w:rsidR="004B3DEB" w:rsidRDefault="003250DE" w:rsidP="008E0EF3">
      <w:pPr>
        <w:pStyle w:val="TJ1"/>
        <w:tabs>
          <w:tab w:val="left" w:pos="660"/>
          <w:tab w:val="right" w:leader="dot" w:pos="9062"/>
        </w:tabs>
        <w:jc w:val="both"/>
        <w:rPr>
          <w:noProof/>
        </w:rPr>
      </w:pPr>
      <w:hyperlink w:anchor="_Toc431820722" w:history="1">
        <w:r w:rsidR="004B3DEB" w:rsidRPr="00253726">
          <w:rPr>
            <w:rStyle w:val="Hiperhivatkozs"/>
            <w:noProof/>
          </w:rPr>
          <w:t>VII.</w:t>
        </w:r>
        <w:r w:rsidR="004B3DEB">
          <w:rPr>
            <w:noProof/>
          </w:rPr>
          <w:tab/>
        </w:r>
        <w:r w:rsidR="004B3DEB" w:rsidRPr="00253726">
          <w:rPr>
            <w:rStyle w:val="Hiperhivatkozs"/>
            <w:noProof/>
          </w:rPr>
          <w:t>Jogellenes adatkezelés következményei</w:t>
        </w:r>
        <w:r w:rsidR="004B3DEB">
          <w:rPr>
            <w:noProof/>
            <w:webHidden/>
          </w:rPr>
          <w:tab/>
        </w:r>
        <w:r w:rsidR="004B3DEB">
          <w:rPr>
            <w:noProof/>
            <w:webHidden/>
          </w:rPr>
          <w:fldChar w:fldCharType="begin"/>
        </w:r>
        <w:r w:rsidR="004B3DEB">
          <w:rPr>
            <w:noProof/>
            <w:webHidden/>
          </w:rPr>
          <w:instrText xml:space="preserve"> PAGEREF _Toc431820722 \h </w:instrText>
        </w:r>
        <w:r w:rsidR="004B3DEB">
          <w:rPr>
            <w:noProof/>
            <w:webHidden/>
          </w:rPr>
        </w:r>
        <w:r w:rsidR="004B3DEB">
          <w:rPr>
            <w:noProof/>
            <w:webHidden/>
          </w:rPr>
          <w:fldChar w:fldCharType="separate"/>
        </w:r>
        <w:r w:rsidR="00FD00FA">
          <w:rPr>
            <w:noProof/>
            <w:webHidden/>
          </w:rPr>
          <w:t>5</w:t>
        </w:r>
        <w:r w:rsidR="004B3DEB">
          <w:rPr>
            <w:noProof/>
            <w:webHidden/>
          </w:rPr>
          <w:fldChar w:fldCharType="end"/>
        </w:r>
      </w:hyperlink>
    </w:p>
    <w:p w:rsidR="004B3DEB" w:rsidRDefault="003250DE" w:rsidP="008E0EF3">
      <w:pPr>
        <w:pStyle w:val="TJ2"/>
        <w:tabs>
          <w:tab w:val="right" w:leader="dot" w:pos="9062"/>
        </w:tabs>
        <w:jc w:val="both"/>
        <w:rPr>
          <w:noProof/>
        </w:rPr>
      </w:pPr>
      <w:hyperlink w:anchor="_Toc431820723" w:history="1">
        <w:r w:rsidR="004B3DEB" w:rsidRPr="00253726">
          <w:rPr>
            <w:rStyle w:val="Hiperhivatkozs"/>
            <w:noProof/>
          </w:rPr>
          <w:t>VI.1. Nemzeti Adatvédelmi és Információszabadság Hatóság előtti eljárás</w:t>
        </w:r>
        <w:r w:rsidR="004B3DEB">
          <w:rPr>
            <w:noProof/>
            <w:webHidden/>
          </w:rPr>
          <w:tab/>
        </w:r>
        <w:r w:rsidR="004B3DEB">
          <w:rPr>
            <w:noProof/>
            <w:webHidden/>
          </w:rPr>
          <w:fldChar w:fldCharType="begin"/>
        </w:r>
        <w:r w:rsidR="004B3DEB">
          <w:rPr>
            <w:noProof/>
            <w:webHidden/>
          </w:rPr>
          <w:instrText xml:space="preserve"> PAGEREF _Toc431820723 \h </w:instrText>
        </w:r>
        <w:r w:rsidR="004B3DEB">
          <w:rPr>
            <w:noProof/>
            <w:webHidden/>
          </w:rPr>
        </w:r>
        <w:r w:rsidR="004B3DEB">
          <w:rPr>
            <w:noProof/>
            <w:webHidden/>
          </w:rPr>
          <w:fldChar w:fldCharType="separate"/>
        </w:r>
        <w:r w:rsidR="00FD00FA">
          <w:rPr>
            <w:noProof/>
            <w:webHidden/>
          </w:rPr>
          <w:t>5</w:t>
        </w:r>
        <w:r w:rsidR="004B3DEB">
          <w:rPr>
            <w:noProof/>
            <w:webHidden/>
          </w:rPr>
          <w:fldChar w:fldCharType="end"/>
        </w:r>
      </w:hyperlink>
    </w:p>
    <w:p w:rsidR="004B3DEB" w:rsidRDefault="003250DE" w:rsidP="008E0EF3">
      <w:pPr>
        <w:pStyle w:val="TJ2"/>
        <w:tabs>
          <w:tab w:val="right" w:leader="dot" w:pos="9062"/>
        </w:tabs>
        <w:jc w:val="both"/>
        <w:rPr>
          <w:noProof/>
        </w:rPr>
      </w:pPr>
      <w:hyperlink w:anchor="_Toc431820724" w:history="1">
        <w:r w:rsidR="004B3DEB" w:rsidRPr="00253726">
          <w:rPr>
            <w:rStyle w:val="Hiperhivatkozs"/>
            <w:noProof/>
          </w:rPr>
          <w:t>VI.2. Bírósági jogérvényesítés</w:t>
        </w:r>
        <w:r w:rsidR="004B3DEB">
          <w:rPr>
            <w:noProof/>
            <w:webHidden/>
          </w:rPr>
          <w:tab/>
        </w:r>
        <w:r w:rsidR="004B3DEB">
          <w:rPr>
            <w:noProof/>
            <w:webHidden/>
          </w:rPr>
          <w:fldChar w:fldCharType="begin"/>
        </w:r>
        <w:r w:rsidR="004B3DEB">
          <w:rPr>
            <w:noProof/>
            <w:webHidden/>
          </w:rPr>
          <w:instrText xml:space="preserve"> PAGEREF _Toc431820724 \h </w:instrText>
        </w:r>
        <w:r w:rsidR="004B3DEB">
          <w:rPr>
            <w:noProof/>
            <w:webHidden/>
          </w:rPr>
        </w:r>
        <w:r w:rsidR="004B3DEB">
          <w:rPr>
            <w:noProof/>
            <w:webHidden/>
          </w:rPr>
          <w:fldChar w:fldCharType="separate"/>
        </w:r>
        <w:r w:rsidR="00FD00FA">
          <w:rPr>
            <w:noProof/>
            <w:webHidden/>
          </w:rPr>
          <w:t>5</w:t>
        </w:r>
        <w:r w:rsidR="004B3DEB">
          <w:rPr>
            <w:noProof/>
            <w:webHidden/>
          </w:rPr>
          <w:fldChar w:fldCharType="end"/>
        </w:r>
      </w:hyperlink>
    </w:p>
    <w:p w:rsidR="004B3DEB" w:rsidRDefault="003250DE" w:rsidP="008E0EF3">
      <w:pPr>
        <w:pStyle w:val="TJ1"/>
        <w:tabs>
          <w:tab w:val="left" w:pos="660"/>
          <w:tab w:val="right" w:leader="dot" w:pos="9062"/>
        </w:tabs>
        <w:jc w:val="both"/>
        <w:rPr>
          <w:noProof/>
        </w:rPr>
      </w:pPr>
      <w:hyperlink w:anchor="_Toc431820725" w:history="1">
        <w:r w:rsidR="004B3DEB" w:rsidRPr="00253726">
          <w:rPr>
            <w:rStyle w:val="Hiperhivatkozs"/>
            <w:noProof/>
          </w:rPr>
          <w:t>VIII.</w:t>
        </w:r>
        <w:r w:rsidR="004B3DEB">
          <w:rPr>
            <w:noProof/>
          </w:rPr>
          <w:tab/>
        </w:r>
        <w:r w:rsidR="004B3DEB" w:rsidRPr="00253726">
          <w:rPr>
            <w:rStyle w:val="Hiperhivatkozs"/>
            <w:noProof/>
          </w:rPr>
          <w:t>Belső adatvédelmi felelős</w:t>
        </w:r>
        <w:r w:rsidR="004B3DEB">
          <w:rPr>
            <w:noProof/>
            <w:webHidden/>
          </w:rPr>
          <w:tab/>
        </w:r>
        <w:r w:rsidR="004B3DEB">
          <w:rPr>
            <w:noProof/>
            <w:webHidden/>
          </w:rPr>
          <w:fldChar w:fldCharType="begin"/>
        </w:r>
        <w:r w:rsidR="004B3DEB">
          <w:rPr>
            <w:noProof/>
            <w:webHidden/>
          </w:rPr>
          <w:instrText xml:space="preserve"> PAGEREF _Toc431820725 \h </w:instrText>
        </w:r>
        <w:r w:rsidR="004B3DEB">
          <w:rPr>
            <w:noProof/>
            <w:webHidden/>
          </w:rPr>
        </w:r>
        <w:r w:rsidR="004B3DEB">
          <w:rPr>
            <w:noProof/>
            <w:webHidden/>
          </w:rPr>
          <w:fldChar w:fldCharType="separate"/>
        </w:r>
        <w:r w:rsidR="00FD00FA">
          <w:rPr>
            <w:noProof/>
            <w:webHidden/>
          </w:rPr>
          <w:t>5</w:t>
        </w:r>
        <w:r w:rsidR="004B3DEB">
          <w:rPr>
            <w:noProof/>
            <w:webHidden/>
          </w:rPr>
          <w:fldChar w:fldCharType="end"/>
        </w:r>
      </w:hyperlink>
    </w:p>
    <w:p w:rsidR="004B3DEB" w:rsidRDefault="003250DE" w:rsidP="008E0EF3">
      <w:pPr>
        <w:pStyle w:val="TJ1"/>
        <w:tabs>
          <w:tab w:val="left" w:pos="660"/>
          <w:tab w:val="right" w:leader="dot" w:pos="9062"/>
        </w:tabs>
        <w:jc w:val="both"/>
        <w:rPr>
          <w:rStyle w:val="Hiperhivatkozs"/>
          <w:noProof/>
        </w:rPr>
      </w:pPr>
      <w:hyperlink w:anchor="_Toc431820726" w:history="1">
        <w:r w:rsidR="004B3DEB" w:rsidRPr="00253726">
          <w:rPr>
            <w:rStyle w:val="Hiperhivatkozs"/>
            <w:noProof/>
          </w:rPr>
          <w:t>IX.</w:t>
        </w:r>
        <w:r w:rsidR="004B3DEB">
          <w:rPr>
            <w:noProof/>
          </w:rPr>
          <w:tab/>
        </w:r>
        <w:r w:rsidR="004B3DEB" w:rsidRPr="00253726">
          <w:rPr>
            <w:rStyle w:val="Hiperhivatkozs"/>
            <w:noProof/>
          </w:rPr>
          <w:t>Záró rendelkezések</w:t>
        </w:r>
        <w:r w:rsidR="004B3DEB">
          <w:rPr>
            <w:noProof/>
            <w:webHidden/>
          </w:rPr>
          <w:tab/>
        </w:r>
        <w:r w:rsidR="004B3DEB">
          <w:rPr>
            <w:noProof/>
            <w:webHidden/>
          </w:rPr>
          <w:fldChar w:fldCharType="begin"/>
        </w:r>
        <w:r w:rsidR="004B3DEB">
          <w:rPr>
            <w:noProof/>
            <w:webHidden/>
          </w:rPr>
          <w:instrText xml:space="preserve"> PAGEREF _Toc431820726 \h </w:instrText>
        </w:r>
        <w:r w:rsidR="004B3DEB">
          <w:rPr>
            <w:noProof/>
            <w:webHidden/>
          </w:rPr>
        </w:r>
        <w:r w:rsidR="004B3DEB">
          <w:rPr>
            <w:noProof/>
            <w:webHidden/>
          </w:rPr>
          <w:fldChar w:fldCharType="separate"/>
        </w:r>
        <w:r w:rsidR="00FD00FA">
          <w:rPr>
            <w:noProof/>
            <w:webHidden/>
          </w:rPr>
          <w:t>5</w:t>
        </w:r>
        <w:r w:rsidR="004B3DEB">
          <w:rPr>
            <w:noProof/>
            <w:webHidden/>
          </w:rPr>
          <w:fldChar w:fldCharType="end"/>
        </w:r>
      </w:hyperlink>
    </w:p>
    <w:p w:rsidR="004B3DEB" w:rsidRDefault="004B3DEB" w:rsidP="008E0EF3">
      <w:pPr>
        <w:jc w:val="both"/>
        <w:rPr>
          <w:noProof/>
        </w:rPr>
      </w:pPr>
      <w:r>
        <w:rPr>
          <w:noProof/>
        </w:rPr>
        <w:br w:type="page"/>
      </w:r>
    </w:p>
    <w:p w:rsidR="004B3DEB" w:rsidRDefault="004B3DEB" w:rsidP="008E0EF3">
      <w:pPr>
        <w:jc w:val="both"/>
        <w:rPr>
          <w:noProof/>
        </w:rPr>
      </w:pPr>
    </w:p>
    <w:p w:rsidR="004B3DEB" w:rsidRDefault="004B3DEB" w:rsidP="008E0EF3">
      <w:pPr>
        <w:jc w:val="both"/>
        <w:rPr>
          <w:b/>
          <w:noProof/>
        </w:rPr>
      </w:pPr>
      <w:r w:rsidRPr="00F42D12">
        <w:rPr>
          <w:b/>
          <w:noProof/>
        </w:rPr>
        <w:t>Dr. Horváth- Dr.</w:t>
      </w:r>
      <w:r w:rsidRPr="00771A0E">
        <w:rPr>
          <w:b/>
          <w:noProof/>
        </w:rPr>
        <w:t xml:space="preserve"> Jakab Ügyvédi Iroda Adatkezelési Szabályzata</w:t>
      </w:r>
    </w:p>
    <w:p w:rsidR="004B3DEB" w:rsidRPr="00771A0E" w:rsidRDefault="004B3DEB" w:rsidP="008E0EF3">
      <w:pPr>
        <w:jc w:val="both"/>
        <w:rPr>
          <w:b/>
        </w:rPr>
      </w:pPr>
      <w:r>
        <w:rPr>
          <w:b/>
        </w:rPr>
        <w:fldChar w:fldCharType="end"/>
      </w:r>
    </w:p>
    <w:p w:rsidR="00F42D12" w:rsidRPr="00771A0E" w:rsidRDefault="00F42D12" w:rsidP="008E0EF3">
      <w:pPr>
        <w:pStyle w:val="Cmsor11"/>
        <w:jc w:val="both"/>
        <w:outlineLvl w:val="0"/>
      </w:pPr>
      <w:bookmarkStart w:id="0" w:name="_Toc431820712"/>
      <w:r w:rsidRPr="00771A0E">
        <w:t>Szabályzat célja, hatálya</w:t>
      </w:r>
      <w:bookmarkEnd w:id="0"/>
    </w:p>
    <w:p w:rsidR="00D1321F" w:rsidRPr="00771A0E" w:rsidRDefault="00D1321F" w:rsidP="008E0EF3">
      <w:pPr>
        <w:pStyle w:val="Cmsor12"/>
        <w:jc w:val="both"/>
        <w:outlineLvl w:val="1"/>
      </w:pPr>
      <w:bookmarkStart w:id="1" w:name="_Toc431820713"/>
      <w:r w:rsidRPr="00771A0E">
        <w:t>I.1. Adatkezelési Szabályzat célja</w:t>
      </w:r>
      <w:bookmarkEnd w:id="1"/>
    </w:p>
    <w:p w:rsidR="00D1321F" w:rsidRPr="00771A0E" w:rsidRDefault="00D1321F" w:rsidP="008E0EF3">
      <w:pPr>
        <w:jc w:val="both"/>
        <w:rPr>
          <w:rFonts w:cs="Tahoma"/>
          <w:color w:val="222222"/>
        </w:rPr>
      </w:pPr>
      <w:r w:rsidRPr="00771A0E">
        <w:t>E szabályzat célja, hogy a Dr</w:t>
      </w:r>
      <w:r w:rsidR="00573506" w:rsidRPr="00771A0E">
        <w:t>.</w:t>
      </w:r>
      <w:r w:rsidRPr="00771A0E">
        <w:t xml:space="preserve"> Horváth- Dr. Jakab Ügyvédi Irodánál, mint Adatkezelőnél zajló adatkezelés tiszteletben tartsa a</w:t>
      </w:r>
      <w:r w:rsidRPr="00771A0E">
        <w:rPr>
          <w:rFonts w:cs="Tahoma"/>
          <w:color w:val="222222"/>
        </w:rPr>
        <w:t xml:space="preserve"> természetes személyek magánszféráját. Továbbá, hogy az adatkezelés megfeleljen az információs önrendelkezés alkotmányos alapelvének és, hogy ne történjen visszaélés az Adatkezelő birtokába jutott szenzitív információk tekintetében.</w:t>
      </w:r>
    </w:p>
    <w:p w:rsidR="00D1321F" w:rsidRPr="00771A0E" w:rsidRDefault="00D1321F" w:rsidP="008E0EF3">
      <w:pPr>
        <w:pStyle w:val="Cmsor12"/>
        <w:jc w:val="both"/>
        <w:outlineLvl w:val="1"/>
      </w:pPr>
      <w:bookmarkStart w:id="2" w:name="_Toc431820714"/>
      <w:r w:rsidRPr="00771A0E">
        <w:t>I.2. Szabályzat hatálya</w:t>
      </w:r>
      <w:bookmarkEnd w:id="2"/>
    </w:p>
    <w:p w:rsidR="00D1321F" w:rsidRPr="00771A0E" w:rsidRDefault="00D1321F" w:rsidP="008E0EF3">
      <w:pPr>
        <w:jc w:val="both"/>
      </w:pPr>
      <w:r w:rsidRPr="00771A0E">
        <w:rPr>
          <w:rFonts w:cs="Tahoma"/>
          <w:color w:val="222222"/>
        </w:rPr>
        <w:t xml:space="preserve">E szabályzat hatálya kiterjed a Dr. Horváth- Dr. Jakab Ügyvédi Irodára, az Iroda egységei közötti információáramlásra. A Szabályzat </w:t>
      </w:r>
      <w:r w:rsidR="00DC1761" w:rsidRPr="00771A0E">
        <w:rPr>
          <w:rFonts w:cs="Tahoma"/>
          <w:color w:val="222222"/>
        </w:rPr>
        <w:t xml:space="preserve">tárgyi </w:t>
      </w:r>
      <w:r w:rsidRPr="00771A0E">
        <w:rPr>
          <w:rFonts w:cs="Tahoma"/>
          <w:color w:val="222222"/>
        </w:rPr>
        <w:t xml:space="preserve">hatálya kiterjed az Irodánál kezelt valamennyi személyes </w:t>
      </w:r>
      <w:r w:rsidR="00DC1761" w:rsidRPr="00771A0E">
        <w:rPr>
          <w:rFonts w:cs="Tahoma"/>
          <w:color w:val="222222"/>
        </w:rPr>
        <w:t xml:space="preserve">adatra, függetlenül azok megjelenési formájától, illetve fellelési helyétől. Jelen szabályzat alkalmazandó az adatkezelés összes fázisára. E szabályzat </w:t>
      </w:r>
      <w:r w:rsidR="00573506" w:rsidRPr="00771A0E">
        <w:rPr>
          <w:rFonts w:cs="Tahoma"/>
          <w:color w:val="222222"/>
        </w:rPr>
        <w:t>személyi hatálya kiterjed az Iroda valamennyi alkalmazottjára</w:t>
      </w:r>
      <w:r w:rsidR="00DC1761" w:rsidRPr="00771A0E">
        <w:rPr>
          <w:rFonts w:cs="Tahoma"/>
          <w:color w:val="222222"/>
        </w:rPr>
        <w:t>.</w:t>
      </w:r>
    </w:p>
    <w:p w:rsidR="00F42D12" w:rsidRPr="00771A0E" w:rsidRDefault="00F42D12" w:rsidP="008E0EF3">
      <w:pPr>
        <w:pStyle w:val="Cmsor11"/>
        <w:jc w:val="both"/>
        <w:outlineLvl w:val="0"/>
      </w:pPr>
      <w:bookmarkStart w:id="3" w:name="_Toc431820715"/>
      <w:r w:rsidRPr="00771A0E">
        <w:t>Jogszabályi hivatkozás, szabályzat kapcsolata az Iroda egyéb belső szabályzatokkal</w:t>
      </w:r>
      <w:bookmarkEnd w:id="3"/>
    </w:p>
    <w:p w:rsidR="00573506" w:rsidRPr="00771A0E" w:rsidRDefault="00573506" w:rsidP="008E0EF3">
      <w:pPr>
        <w:jc w:val="both"/>
      </w:pPr>
      <w:r w:rsidRPr="00771A0E">
        <w:t xml:space="preserve">II.1. A Szabályzat megalkotására az információs önrendelkezési jogról és az információszabadságról szóló 2011. évi CXII. számú törvény (továbbiakban: </w:t>
      </w:r>
      <w:proofErr w:type="spellStart"/>
      <w:r w:rsidRPr="00771A0E">
        <w:t>Infotv</w:t>
      </w:r>
      <w:proofErr w:type="spellEnd"/>
      <w:r w:rsidRPr="00771A0E">
        <w:t>.) alapján került sor.</w:t>
      </w:r>
    </w:p>
    <w:p w:rsidR="00573506" w:rsidRPr="00771A0E" w:rsidRDefault="00573506" w:rsidP="008E0EF3">
      <w:pPr>
        <w:jc w:val="both"/>
      </w:pPr>
      <w:r w:rsidRPr="00771A0E">
        <w:t>II.2. E Szabályzat az Iroda Követeléskezelési Szabályzatához kapcsolódóan került megalkotásra.</w:t>
      </w:r>
    </w:p>
    <w:p w:rsidR="00F42D12" w:rsidRPr="00771A0E" w:rsidRDefault="00F42D12" w:rsidP="008E0EF3">
      <w:pPr>
        <w:pStyle w:val="Cmsor11"/>
        <w:jc w:val="both"/>
        <w:outlineLvl w:val="0"/>
      </w:pPr>
      <w:bookmarkStart w:id="4" w:name="_Toc431820716"/>
      <w:r w:rsidRPr="00771A0E">
        <w:t>Értelmező rendelkezések</w:t>
      </w:r>
      <w:bookmarkEnd w:id="4"/>
    </w:p>
    <w:p w:rsidR="00573506" w:rsidRPr="00771A0E" w:rsidRDefault="00573506" w:rsidP="008E0EF3">
      <w:pPr>
        <w:jc w:val="both"/>
      </w:pPr>
      <w:r w:rsidRPr="00771A0E">
        <w:t xml:space="preserve">Az </w:t>
      </w:r>
      <w:proofErr w:type="spellStart"/>
      <w:r w:rsidRPr="00771A0E">
        <w:t>Infotv</w:t>
      </w:r>
      <w:proofErr w:type="spellEnd"/>
      <w:r w:rsidRPr="00771A0E">
        <w:t>. 3. § 2. pontjában meghatározottak szerint „személyes adat: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rsidR="00573506" w:rsidRPr="00771A0E" w:rsidRDefault="00573506" w:rsidP="008E0EF3">
      <w:pPr>
        <w:jc w:val="both"/>
      </w:pPr>
      <w:r w:rsidRPr="00771A0E">
        <w:t xml:space="preserve">Az </w:t>
      </w:r>
      <w:proofErr w:type="spellStart"/>
      <w:r w:rsidRPr="00771A0E">
        <w:t>Infotv</w:t>
      </w:r>
      <w:proofErr w:type="spellEnd"/>
      <w:r w:rsidRPr="00771A0E">
        <w:t>. 3. § 7. pontjában foglaltak szerint „hozzájárulás: az érintett akaratának önkéntes és határozott kinyilvánítása, amely megfelelő tájékoztatáson alapul, és amellyel félreérthetetlen beleegyezését adja a rá vonatkozó személyes adatok – teljes körű vagy egyes műveletekre kiterjedő – kezeléséhez.”</w:t>
      </w:r>
    </w:p>
    <w:p w:rsidR="00573506" w:rsidRPr="00771A0E" w:rsidRDefault="00573506" w:rsidP="008E0EF3">
      <w:pPr>
        <w:jc w:val="both"/>
      </w:pPr>
      <w:r w:rsidRPr="00771A0E">
        <w:t xml:space="preserve">Az </w:t>
      </w:r>
      <w:proofErr w:type="spellStart"/>
      <w:r w:rsidRPr="00771A0E">
        <w:t>Infotv</w:t>
      </w:r>
      <w:proofErr w:type="spellEnd"/>
      <w:r w:rsidRPr="00771A0E">
        <w:t xml:space="preserve">. 3. § 9. pontja kimondja, hogy „adatkezelő: az a természetes vagy jogi személy, illetve jogi személyiséggel nem rendelkező szervezet, </w:t>
      </w:r>
      <w:proofErr w:type="gramStart"/>
      <w:r w:rsidRPr="00771A0E">
        <w:t>aki</w:t>
      </w:r>
      <w:proofErr w:type="gramEnd"/>
      <w:r w:rsidRPr="00771A0E">
        <w:t xml:space="preserve"> vagy amely önállóan vagy másokkal együtt az adatok kezelésének célját meghatározza, az adatkezelésre (beleértve a felhasznált eszközt) vonatkozó döntéseket meghozza és végrehajtja, vagy az általa megbízott adatfeldolgozóval végrehajtatja.”</w:t>
      </w:r>
    </w:p>
    <w:p w:rsidR="00573506" w:rsidRPr="00771A0E" w:rsidRDefault="00573506" w:rsidP="008E0EF3">
      <w:pPr>
        <w:jc w:val="both"/>
      </w:pPr>
      <w:r w:rsidRPr="00771A0E">
        <w:t xml:space="preserve">Az </w:t>
      </w:r>
      <w:proofErr w:type="spellStart"/>
      <w:r w:rsidRPr="00771A0E">
        <w:t>Infotv</w:t>
      </w:r>
      <w:proofErr w:type="spellEnd"/>
      <w:r w:rsidRPr="00771A0E">
        <w:t>. 3. § 10. pontja kimondja, hogy „adatkezelés: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w:t>
      </w:r>
    </w:p>
    <w:p w:rsidR="0005154D" w:rsidRPr="00771A0E" w:rsidRDefault="00573506" w:rsidP="008E0EF3">
      <w:pPr>
        <w:jc w:val="both"/>
      </w:pPr>
      <w:r w:rsidRPr="00771A0E">
        <w:t xml:space="preserve">Az </w:t>
      </w:r>
      <w:proofErr w:type="spellStart"/>
      <w:r w:rsidRPr="00771A0E">
        <w:t>Infotv</w:t>
      </w:r>
      <w:proofErr w:type="spellEnd"/>
      <w:r w:rsidRPr="00771A0E">
        <w:t xml:space="preserve"> 3. § 22. pontja értelmében „harmadik személy: olyan természetes vagy jogi személy, illetve jogi személyiséggel nem rendelkező szervezet, </w:t>
      </w:r>
      <w:proofErr w:type="gramStart"/>
      <w:r w:rsidRPr="00771A0E">
        <w:t>aki</w:t>
      </w:r>
      <w:proofErr w:type="gramEnd"/>
      <w:r w:rsidRPr="00771A0E">
        <w:t xml:space="preserve"> vagy amely nem azonos az érintettel, az adatkezelővel vagy az adatfeldolgozóval.</w:t>
      </w:r>
    </w:p>
    <w:p w:rsidR="00F42D12" w:rsidRPr="00771A0E" w:rsidRDefault="00F42D12" w:rsidP="008E0EF3">
      <w:pPr>
        <w:pStyle w:val="Cmsor11"/>
        <w:jc w:val="both"/>
        <w:outlineLvl w:val="0"/>
      </w:pPr>
      <w:bookmarkStart w:id="5" w:name="_Toc431820717"/>
      <w:r w:rsidRPr="00771A0E">
        <w:t>Adatvédelem</w:t>
      </w:r>
      <w:bookmarkEnd w:id="5"/>
    </w:p>
    <w:p w:rsidR="00F6763C" w:rsidRPr="00771A0E" w:rsidRDefault="00F6763C" w:rsidP="008E0EF3">
      <w:pPr>
        <w:pStyle w:val="Cmsor12"/>
        <w:jc w:val="both"/>
        <w:outlineLvl w:val="1"/>
      </w:pPr>
      <w:bookmarkStart w:id="6" w:name="_Toc431820718"/>
      <w:r w:rsidRPr="00771A0E">
        <w:t>IV.1. Adatkezelés elvei</w:t>
      </w:r>
      <w:r w:rsidR="001D0623" w:rsidRPr="00771A0E">
        <w:t>, szabályai</w:t>
      </w:r>
      <w:bookmarkEnd w:id="6"/>
    </w:p>
    <w:p w:rsidR="00F6763C" w:rsidRPr="00771A0E" w:rsidRDefault="00F6763C" w:rsidP="008E0EF3">
      <w:pPr>
        <w:autoSpaceDE w:val="0"/>
        <w:autoSpaceDN w:val="0"/>
        <w:adjustRightInd w:val="0"/>
        <w:spacing w:after="0" w:line="240" w:lineRule="auto"/>
        <w:jc w:val="both"/>
        <w:rPr>
          <w:rFonts w:cs="Arial"/>
          <w:iCs/>
        </w:rPr>
      </w:pPr>
      <w:r w:rsidRPr="00771A0E">
        <w:rPr>
          <w:rFonts w:cs="Arial"/>
          <w:iCs/>
        </w:rPr>
        <w:t>1.Személyes adat kizárólag meghatározott célból, jog gyakorlása és kötelezettség teljesítése érdekében kezelhet</w:t>
      </w:r>
      <w:r w:rsidRPr="00771A0E">
        <w:rPr>
          <w:rFonts w:cs="Arial"/>
        </w:rPr>
        <w:t>ő</w:t>
      </w:r>
      <w:r w:rsidRPr="00771A0E">
        <w:rPr>
          <w:rFonts w:cs="Arial"/>
          <w:iCs/>
        </w:rPr>
        <w:t>. Az adatkezelésnek minden szakaszában meg kell felelnie az adatkezelés céljának, az adatok felvételének és kezelésének tisztességesnek és törvényesnek kell lennie.</w:t>
      </w:r>
    </w:p>
    <w:p w:rsidR="00F6763C" w:rsidRPr="00771A0E" w:rsidRDefault="00F6763C" w:rsidP="008E0EF3">
      <w:pPr>
        <w:autoSpaceDE w:val="0"/>
        <w:autoSpaceDN w:val="0"/>
        <w:adjustRightInd w:val="0"/>
        <w:spacing w:after="0" w:line="240" w:lineRule="auto"/>
        <w:jc w:val="both"/>
        <w:rPr>
          <w:rFonts w:cs="Arial"/>
          <w:iCs/>
        </w:rPr>
      </w:pPr>
    </w:p>
    <w:p w:rsidR="00F6763C" w:rsidRPr="00771A0E" w:rsidRDefault="00F6763C" w:rsidP="008E0EF3">
      <w:pPr>
        <w:autoSpaceDE w:val="0"/>
        <w:autoSpaceDN w:val="0"/>
        <w:adjustRightInd w:val="0"/>
        <w:spacing w:after="0" w:line="240" w:lineRule="auto"/>
        <w:jc w:val="both"/>
        <w:rPr>
          <w:rFonts w:cs="Arial"/>
          <w:iCs/>
        </w:rPr>
      </w:pPr>
      <w:r w:rsidRPr="00771A0E">
        <w:rPr>
          <w:rFonts w:cs="Arial"/>
          <w:iCs/>
        </w:rPr>
        <w:t>2. Csak olyan személyes adat kezelhet</w:t>
      </w:r>
      <w:r w:rsidRPr="00771A0E">
        <w:rPr>
          <w:rFonts w:cs="Arial"/>
        </w:rPr>
        <w:t>ő</w:t>
      </w:r>
      <w:r w:rsidRPr="00771A0E">
        <w:rPr>
          <w:rFonts w:cs="Arial"/>
          <w:iCs/>
        </w:rPr>
        <w:t>, amely az adatkezelés céljának megvalósulásához elengedhetetlen, a cél elérésére alkalmas. A személyes adat csak a cél megvalósulásához szükséges mértékben és ideig kezelhet</w:t>
      </w:r>
      <w:r w:rsidRPr="00771A0E">
        <w:rPr>
          <w:rFonts w:cs="Arial"/>
        </w:rPr>
        <w:t>ő</w:t>
      </w:r>
      <w:r w:rsidRPr="00771A0E">
        <w:rPr>
          <w:rFonts w:cs="Arial"/>
          <w:iCs/>
        </w:rPr>
        <w:t>.</w:t>
      </w:r>
    </w:p>
    <w:p w:rsidR="00F6763C" w:rsidRPr="00771A0E" w:rsidRDefault="00F6763C" w:rsidP="008E0EF3">
      <w:pPr>
        <w:autoSpaceDE w:val="0"/>
        <w:autoSpaceDN w:val="0"/>
        <w:adjustRightInd w:val="0"/>
        <w:spacing w:after="0" w:line="240" w:lineRule="auto"/>
        <w:jc w:val="both"/>
        <w:rPr>
          <w:rFonts w:cs="Arial"/>
          <w:iCs/>
        </w:rPr>
      </w:pPr>
    </w:p>
    <w:p w:rsidR="00F6763C" w:rsidRPr="00771A0E" w:rsidRDefault="00F6763C" w:rsidP="008E0EF3">
      <w:pPr>
        <w:autoSpaceDE w:val="0"/>
        <w:autoSpaceDN w:val="0"/>
        <w:adjustRightInd w:val="0"/>
        <w:spacing w:after="0" w:line="240" w:lineRule="auto"/>
        <w:jc w:val="both"/>
        <w:rPr>
          <w:rFonts w:cs="Arial"/>
          <w:iCs/>
        </w:rPr>
      </w:pPr>
      <w:r w:rsidRPr="00771A0E">
        <w:rPr>
          <w:rFonts w:cs="Arial"/>
          <w:iCs/>
        </w:rPr>
        <w:t>3. A személyes adat az adatkezelés során mindaddig meg</w:t>
      </w:r>
      <w:r w:rsidRPr="00771A0E">
        <w:rPr>
          <w:rFonts w:cs="Arial"/>
        </w:rPr>
        <w:t>ő</w:t>
      </w:r>
      <w:r w:rsidRPr="00771A0E">
        <w:rPr>
          <w:rFonts w:cs="Arial"/>
          <w:iCs/>
        </w:rPr>
        <w:t>rzi e min</w:t>
      </w:r>
      <w:r w:rsidRPr="00771A0E">
        <w:rPr>
          <w:rFonts w:cs="Arial"/>
        </w:rPr>
        <w:t>ő</w:t>
      </w:r>
      <w:r w:rsidRPr="00771A0E">
        <w:rPr>
          <w:rFonts w:cs="Arial"/>
          <w:iCs/>
        </w:rPr>
        <w:t>ségét, amíg kapcsolata az érintettel helyreállítható. Az érintettel akkor helyreállítható a kapcsolat, ha az adatkezel</w:t>
      </w:r>
      <w:r w:rsidRPr="00771A0E">
        <w:rPr>
          <w:rFonts w:cs="Arial"/>
        </w:rPr>
        <w:t xml:space="preserve">ő </w:t>
      </w:r>
      <w:r w:rsidRPr="00771A0E">
        <w:rPr>
          <w:rFonts w:cs="Arial"/>
          <w:iCs/>
        </w:rPr>
        <w:t>rendelkezik azokkal a technikai feltételekkel, amelyek a helyreállításhoz szükségesek.</w:t>
      </w:r>
    </w:p>
    <w:p w:rsidR="00F6763C" w:rsidRPr="00771A0E" w:rsidRDefault="00F6763C" w:rsidP="008E0EF3">
      <w:pPr>
        <w:autoSpaceDE w:val="0"/>
        <w:autoSpaceDN w:val="0"/>
        <w:adjustRightInd w:val="0"/>
        <w:spacing w:after="0" w:line="240" w:lineRule="auto"/>
        <w:jc w:val="both"/>
        <w:rPr>
          <w:rFonts w:cs="Arial"/>
          <w:iCs/>
        </w:rPr>
      </w:pPr>
    </w:p>
    <w:p w:rsidR="00F6763C" w:rsidRPr="00771A0E" w:rsidRDefault="00F6763C" w:rsidP="008E0EF3">
      <w:pPr>
        <w:jc w:val="both"/>
      </w:pPr>
      <w:r w:rsidRPr="00771A0E">
        <w:t>4. Az adatkezelés során biztosítani kell az adatok pontosságát, teljességét és - ha az adatkezelés céljára tekintettel szükséges - naprakészségét, valamint azt, hogy az érintettet csak az adatkezelés céljához szükséges ideig lehessen azonosítani.</w:t>
      </w:r>
    </w:p>
    <w:p w:rsidR="00F6763C" w:rsidRPr="00771A0E" w:rsidRDefault="00F6763C" w:rsidP="008E0EF3">
      <w:pPr>
        <w:jc w:val="both"/>
      </w:pPr>
      <w:r w:rsidRPr="00771A0E">
        <w:t xml:space="preserve">5. Adatkezelést Irodánk csak akkor végez, ha </w:t>
      </w:r>
    </w:p>
    <w:p w:rsidR="00F6763C" w:rsidRPr="00771A0E" w:rsidRDefault="00F6763C" w:rsidP="008E0EF3">
      <w:pPr>
        <w:spacing w:after="0"/>
        <w:jc w:val="both"/>
      </w:pPr>
      <w:proofErr w:type="gramStart"/>
      <w:r w:rsidRPr="00771A0E">
        <w:t>a</w:t>
      </w:r>
      <w:proofErr w:type="gramEnd"/>
      <w:r w:rsidRPr="00771A0E">
        <w:t>) ahhoz az érintett hozzájárul, vagy</w:t>
      </w:r>
    </w:p>
    <w:p w:rsidR="00F6763C" w:rsidRPr="00771A0E" w:rsidRDefault="00F6763C" w:rsidP="008E0EF3">
      <w:pPr>
        <w:spacing w:after="0"/>
        <w:jc w:val="both"/>
      </w:pPr>
      <w:r w:rsidRPr="00771A0E">
        <w:t>b) azt törvény vagy – törvény felhatalmazása alapján, az abban meghatározott körben – helyi önkormányzat rendelete közérdeken alapuló célból elrendeli (a továbbiakban: kötelező adatkezelés).</w:t>
      </w:r>
    </w:p>
    <w:p w:rsidR="001D0623" w:rsidRPr="00771A0E" w:rsidRDefault="001D0623" w:rsidP="008E0EF3">
      <w:pPr>
        <w:spacing w:after="0"/>
        <w:jc w:val="both"/>
      </w:pPr>
    </w:p>
    <w:p w:rsidR="001D0623" w:rsidRPr="00771A0E" w:rsidRDefault="001D0623" w:rsidP="008E0EF3">
      <w:pPr>
        <w:spacing w:after="0"/>
        <w:jc w:val="both"/>
      </w:pPr>
      <w:r w:rsidRPr="00771A0E">
        <w:t>6. Személyes adat kezelhető akkor is, ha az érintett hozzájárulásának beszerzése lehetetlen vagy aránytalan költséggel járna, és a személyes adat kezelése</w:t>
      </w:r>
    </w:p>
    <w:p w:rsidR="001D0623" w:rsidRPr="00771A0E" w:rsidRDefault="001D0623" w:rsidP="008E0EF3">
      <w:pPr>
        <w:spacing w:after="0"/>
        <w:jc w:val="both"/>
      </w:pPr>
      <w:proofErr w:type="gramStart"/>
      <w:r w:rsidRPr="00771A0E">
        <w:t>a</w:t>
      </w:r>
      <w:proofErr w:type="gramEnd"/>
      <w:r w:rsidRPr="00771A0E">
        <w:t>) az adatkezelőre vonatkozó jogi kötelezettség teljesítése céljából szükséges, vagy</w:t>
      </w:r>
    </w:p>
    <w:p w:rsidR="001D0623" w:rsidRPr="00771A0E" w:rsidRDefault="001D0623" w:rsidP="008E0EF3">
      <w:pPr>
        <w:spacing w:after="0"/>
        <w:jc w:val="both"/>
      </w:pPr>
      <w:r w:rsidRPr="00771A0E">
        <w:t>b) az adatkezelő vagy harmadik személy jogos érdekének érvényesítése céljából szükséges, és ezen érdek érvényesítése a személyes adatok védelméhez fűződő jog korlátozásával arányban áll.</w:t>
      </w:r>
    </w:p>
    <w:p w:rsidR="00F6763C" w:rsidRPr="00771A0E" w:rsidRDefault="00F6763C" w:rsidP="008E0EF3">
      <w:pPr>
        <w:spacing w:after="0"/>
        <w:jc w:val="both"/>
      </w:pPr>
    </w:p>
    <w:p w:rsidR="001D0623" w:rsidRPr="00771A0E" w:rsidRDefault="004A7346" w:rsidP="008E0EF3">
      <w:pPr>
        <w:jc w:val="both"/>
      </w:pPr>
      <w:r w:rsidRPr="00771A0E">
        <w:t>7</w:t>
      </w:r>
      <w:r w:rsidR="001D0623" w:rsidRPr="00771A0E">
        <w:t>. Ha a hozzájáruláson alapuló adatkezelés célja az adatkezelővel írásban kötött szerződés végrehajtása, a szerződésnek tartalmaznia kell minden olyan információt, amelyet a személyes adatok kezelése szempontjából - e törvény alapján - az érintettnek ismernie kell, így különösen a kezelendő adatok meghatározását, az adatkezelés időtartamát, a felhasználás célját, az adatok továbbításának tényét, címzettjeit, adatfeldolgozó igénybevételének tényét. A szerződésnek félreérthetetlen módon tartalmaznia kell, hogy az érintett aláírásával hozzájárul adatainak a szerződésben meghatározottak szerinti kezeléséhez.</w:t>
      </w:r>
    </w:p>
    <w:p w:rsidR="004A7346" w:rsidRPr="00771A0E" w:rsidRDefault="004A7346" w:rsidP="008E0EF3">
      <w:pPr>
        <w:pStyle w:val="Cmsor12"/>
        <w:jc w:val="both"/>
        <w:outlineLvl w:val="1"/>
      </w:pPr>
      <w:bookmarkStart w:id="7" w:name="_Toc431820719"/>
      <w:r w:rsidRPr="00771A0E">
        <w:t>IV.2. Érintettek jogai</w:t>
      </w:r>
      <w:bookmarkEnd w:id="7"/>
      <w:r w:rsidRPr="00771A0E">
        <w:t xml:space="preserve"> </w:t>
      </w:r>
    </w:p>
    <w:p w:rsidR="004A7346" w:rsidRPr="00771A0E" w:rsidRDefault="004A7346" w:rsidP="008E0EF3">
      <w:pPr>
        <w:jc w:val="both"/>
      </w:pPr>
      <w:r w:rsidRPr="00771A0E">
        <w:t>1. Az érintettel az adatkezelés megkezdése előtt közölni kell, hogy az adatkezelés hozzájáruláson alapul vagy kötelező.</w:t>
      </w:r>
    </w:p>
    <w:p w:rsidR="004A7346" w:rsidRPr="00771A0E" w:rsidRDefault="004A7346" w:rsidP="008E0EF3">
      <w:pPr>
        <w:jc w:val="both"/>
      </w:pPr>
      <w:r w:rsidRPr="00771A0E">
        <w:t>2. Az érintettet az adatkezelés megkezdése előtt egyértelműen és részletesen tájékoztatni kell az adatai kezelésével kapcsolatos minden tényről, különösen az adatkezelés céljáról és jogalapjáról, az adatkezelésre és az adatfeldolgozásra jogosult személyéről, az adatkezelés időtartamáról, illetve arról, hogy kik ismerhetik meg az adatokat. A tájékoztatásnak ki kell terjednie az érintett adatkezeléssel kapcsolatos jogaira és jogorvoslati lehetőségeire is.</w:t>
      </w:r>
    </w:p>
    <w:p w:rsidR="00A93807" w:rsidRPr="00771A0E" w:rsidRDefault="004A7346" w:rsidP="008E0EF3">
      <w:pPr>
        <w:spacing w:after="0"/>
        <w:jc w:val="both"/>
      </w:pPr>
      <w:r w:rsidRPr="00771A0E">
        <w:t xml:space="preserve">3. </w:t>
      </w:r>
      <w:r w:rsidR="00A93807" w:rsidRPr="00771A0E">
        <w:t>Az érintett kérelmezheti az adatkezelőnél</w:t>
      </w:r>
    </w:p>
    <w:p w:rsidR="00A93807" w:rsidRPr="00771A0E" w:rsidRDefault="00A93807" w:rsidP="008E0EF3">
      <w:pPr>
        <w:spacing w:after="0"/>
        <w:jc w:val="both"/>
      </w:pPr>
      <w:proofErr w:type="gramStart"/>
      <w:r w:rsidRPr="00771A0E">
        <w:t>a</w:t>
      </w:r>
      <w:proofErr w:type="gramEnd"/>
      <w:r w:rsidRPr="00771A0E">
        <w:t>) tájékoztatását személyes adatai kezeléséről,</w:t>
      </w:r>
    </w:p>
    <w:p w:rsidR="00A93807" w:rsidRPr="00771A0E" w:rsidRDefault="00A93807" w:rsidP="008E0EF3">
      <w:pPr>
        <w:spacing w:after="0"/>
        <w:jc w:val="both"/>
      </w:pPr>
      <w:r w:rsidRPr="00771A0E">
        <w:t>b) személyes adatainak helyesbítését, valamint</w:t>
      </w:r>
    </w:p>
    <w:p w:rsidR="004A7346" w:rsidRPr="00771A0E" w:rsidRDefault="00A93807" w:rsidP="008E0EF3">
      <w:pPr>
        <w:spacing w:after="0"/>
        <w:jc w:val="both"/>
      </w:pPr>
      <w:r w:rsidRPr="00771A0E">
        <w:t>c) személyes adatainak - a kötelező adatkezelés kivételével - törlését vagy zárolását.</w:t>
      </w:r>
    </w:p>
    <w:p w:rsidR="00A93807" w:rsidRPr="00771A0E" w:rsidRDefault="00A93807" w:rsidP="008E0EF3">
      <w:pPr>
        <w:spacing w:after="0"/>
        <w:jc w:val="both"/>
      </w:pPr>
    </w:p>
    <w:p w:rsidR="00A93807" w:rsidRPr="00771A0E" w:rsidRDefault="00A93807" w:rsidP="008E0EF3">
      <w:pPr>
        <w:spacing w:after="0"/>
        <w:jc w:val="both"/>
      </w:pPr>
      <w:r w:rsidRPr="00771A0E">
        <w:t>4. Az érintett tiltakozhat személyes adatának kezelése ellen,</w:t>
      </w:r>
    </w:p>
    <w:p w:rsidR="00A93807" w:rsidRPr="00771A0E" w:rsidRDefault="00A93807" w:rsidP="008E0EF3">
      <w:pPr>
        <w:spacing w:after="0"/>
        <w:jc w:val="both"/>
      </w:pPr>
      <w:proofErr w:type="gramStart"/>
      <w:r w:rsidRPr="00771A0E">
        <w:t>a</w:t>
      </w:r>
      <w:proofErr w:type="gramEnd"/>
      <w:r w:rsidRPr="00771A0E">
        <w:t>) ha a személyes adatok kezelése vagy továbbítása kizárólag az adatkezelőre vonatkozó jogi kötelezettség teljesítéséhez vagy az adatkezelő, adatátvevő vagy harmadik személy jogos érdekének érvényesítéséhez szükséges, kivéve kötelező adatkezelés esetén;</w:t>
      </w:r>
    </w:p>
    <w:p w:rsidR="00A93807" w:rsidRPr="00771A0E" w:rsidRDefault="00A93807" w:rsidP="008E0EF3">
      <w:pPr>
        <w:spacing w:after="0"/>
        <w:jc w:val="both"/>
      </w:pPr>
      <w:r w:rsidRPr="00771A0E">
        <w:t>b) ha a személyes adat felhasználása vagy továbbítása közvetlen üzletszerzés, közvélemény-kutatás vagy tudományos kutatás céljára történik; valamint</w:t>
      </w:r>
    </w:p>
    <w:p w:rsidR="00A93807" w:rsidRPr="00771A0E" w:rsidRDefault="00A93807" w:rsidP="008E0EF3">
      <w:pPr>
        <w:spacing w:after="0"/>
        <w:jc w:val="both"/>
      </w:pPr>
      <w:r w:rsidRPr="00771A0E">
        <w:t>c) törvényben meghatározott egyéb esetben.</w:t>
      </w:r>
    </w:p>
    <w:p w:rsidR="00A93807" w:rsidRPr="00771A0E" w:rsidRDefault="00A93807" w:rsidP="008E0EF3">
      <w:pPr>
        <w:spacing w:after="0"/>
        <w:jc w:val="both"/>
      </w:pPr>
    </w:p>
    <w:p w:rsidR="00A93807" w:rsidRDefault="00A93807" w:rsidP="008E0EF3">
      <w:pPr>
        <w:spacing w:after="0"/>
        <w:jc w:val="both"/>
      </w:pPr>
      <w:r w:rsidRPr="00771A0E">
        <w:t>5. Az adatkezelő a tiltakozást a kérelem benyújtásától számított legrövidebb időn belül, de legfeljebb 15 napon belül megvizsgálja, annak megalapozottsága kérdésében döntést hoz, és döntéséről a kérelmezőt írásban tájékoztatja.</w:t>
      </w:r>
    </w:p>
    <w:p w:rsidR="008812A7" w:rsidRDefault="008812A7" w:rsidP="008E0EF3">
      <w:pPr>
        <w:pStyle w:val="Cmsor12"/>
        <w:jc w:val="both"/>
      </w:pPr>
    </w:p>
    <w:p w:rsidR="00F42D12" w:rsidRPr="00771A0E" w:rsidRDefault="00F42D12" w:rsidP="008E0EF3">
      <w:pPr>
        <w:pStyle w:val="Cmsor11"/>
        <w:jc w:val="both"/>
        <w:outlineLvl w:val="0"/>
      </w:pPr>
      <w:bookmarkStart w:id="8" w:name="_Toc431820720"/>
      <w:r w:rsidRPr="00771A0E">
        <w:t>Adatbiztonság</w:t>
      </w:r>
      <w:bookmarkEnd w:id="8"/>
    </w:p>
    <w:p w:rsidR="004A7346" w:rsidRPr="00771A0E" w:rsidRDefault="004A7346" w:rsidP="008E0EF3">
      <w:pPr>
        <w:pStyle w:val="Listaszerbekezds"/>
        <w:ind w:left="0"/>
        <w:jc w:val="both"/>
      </w:pPr>
      <w:r w:rsidRPr="00771A0E">
        <w:t>1. Az adatkezelő köteles az adatkezelési műveleteket úgy megtervezni és végrehajtani, hogy biztosítsa az érintettek magánszférájának védelmét.</w:t>
      </w:r>
    </w:p>
    <w:p w:rsidR="004A7346" w:rsidRPr="00771A0E" w:rsidRDefault="004A7346" w:rsidP="008E0EF3">
      <w:pPr>
        <w:pStyle w:val="Listaszerbekezds"/>
        <w:ind w:left="0"/>
        <w:jc w:val="both"/>
      </w:pPr>
    </w:p>
    <w:p w:rsidR="004A7346" w:rsidRPr="00771A0E" w:rsidRDefault="004A7346" w:rsidP="008E0EF3">
      <w:pPr>
        <w:pStyle w:val="Listaszerbekezds"/>
        <w:ind w:left="0"/>
        <w:jc w:val="both"/>
        <w:rPr>
          <w:rFonts w:cs="Tahoma"/>
          <w:color w:val="222222"/>
        </w:rPr>
      </w:pPr>
      <w:r w:rsidRPr="00771A0E">
        <w:t xml:space="preserve">2. </w:t>
      </w:r>
      <w:r w:rsidRPr="00771A0E">
        <w:rPr>
          <w:rFonts w:cs="Tahoma"/>
          <w:color w:val="222222"/>
        </w:rPr>
        <w:t xml:space="preserve">Az Adatkezelő gondoskodik az adatok biztonságáról, megteszi azokat a technikai és szervezési intézkedéseket és kialakítja azokat az eljárási szabályokat, amelyek az </w:t>
      </w:r>
      <w:proofErr w:type="spellStart"/>
      <w:r w:rsidRPr="00771A0E">
        <w:rPr>
          <w:rFonts w:cs="Tahoma"/>
          <w:color w:val="222222"/>
        </w:rPr>
        <w:t>Infotv</w:t>
      </w:r>
      <w:proofErr w:type="spellEnd"/>
      <w:r w:rsidRPr="00771A0E">
        <w:rPr>
          <w:rFonts w:cs="Tahoma"/>
          <w:color w:val="222222"/>
        </w:rPr>
        <w:t>. érvényre juttatásához szükségesek</w:t>
      </w:r>
    </w:p>
    <w:p w:rsidR="004A7346" w:rsidRPr="00771A0E" w:rsidRDefault="004A7346" w:rsidP="008E0EF3">
      <w:pPr>
        <w:pStyle w:val="Listaszerbekezds"/>
        <w:ind w:left="0"/>
        <w:jc w:val="both"/>
        <w:rPr>
          <w:rFonts w:cs="Tahoma"/>
          <w:color w:val="222222"/>
        </w:rPr>
      </w:pPr>
    </w:p>
    <w:p w:rsidR="004A7346" w:rsidRPr="00771A0E" w:rsidRDefault="004A7346" w:rsidP="008E0EF3">
      <w:pPr>
        <w:pStyle w:val="Listaszerbekezds"/>
        <w:ind w:left="0"/>
        <w:jc w:val="both"/>
        <w:rPr>
          <w:rFonts w:cs="Tahoma"/>
          <w:color w:val="222222"/>
        </w:rPr>
      </w:pPr>
      <w:r w:rsidRPr="00771A0E">
        <w:rPr>
          <w:rFonts w:cs="Tahoma"/>
          <w:color w:val="222222"/>
        </w:rPr>
        <w:t>3. Az adatokat Irodánk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BD3F55" w:rsidRPr="00771A0E" w:rsidRDefault="00BD3F55" w:rsidP="008E0EF3">
      <w:pPr>
        <w:pStyle w:val="Listaszerbekezds"/>
        <w:ind w:left="0"/>
        <w:jc w:val="both"/>
        <w:rPr>
          <w:rFonts w:cs="Tahoma"/>
          <w:color w:val="222222"/>
        </w:rPr>
      </w:pPr>
    </w:p>
    <w:p w:rsidR="00BD3F55" w:rsidRPr="00771A0E" w:rsidRDefault="00BD3F55" w:rsidP="008E0EF3">
      <w:pPr>
        <w:pStyle w:val="Listaszerbekezds"/>
        <w:ind w:left="0"/>
        <w:jc w:val="both"/>
        <w:rPr>
          <w:rFonts w:cs="Tahoma"/>
          <w:color w:val="222222"/>
        </w:rPr>
      </w:pPr>
      <w:r w:rsidRPr="00771A0E">
        <w:rPr>
          <w:rFonts w:cs="Tahoma"/>
          <w:color w:val="222222"/>
        </w:rPr>
        <w:t>4. Irodánk olyan eszközöket alkalmaz helyiségeiben, melyekke</w:t>
      </w:r>
      <w:r w:rsidR="00AC4AC7">
        <w:rPr>
          <w:rFonts w:cs="Tahoma"/>
          <w:color w:val="222222"/>
        </w:rPr>
        <w:t>l</w:t>
      </w:r>
      <w:r w:rsidRPr="00771A0E">
        <w:rPr>
          <w:rFonts w:cs="Tahoma"/>
          <w:color w:val="222222"/>
        </w:rPr>
        <w:t xml:space="preserve"> az adatok fizikai védelme megvalósítható.</w:t>
      </w:r>
    </w:p>
    <w:p w:rsidR="00BD3F55" w:rsidRPr="00771A0E" w:rsidRDefault="00BD3F55" w:rsidP="008E0EF3">
      <w:pPr>
        <w:pStyle w:val="Listaszerbekezds"/>
        <w:ind w:left="0"/>
        <w:jc w:val="both"/>
        <w:rPr>
          <w:rFonts w:cs="Tahoma"/>
          <w:color w:val="222222"/>
        </w:rPr>
      </w:pPr>
    </w:p>
    <w:p w:rsidR="00BD3F55" w:rsidRPr="00771A0E" w:rsidRDefault="00BD3F55" w:rsidP="008E0EF3">
      <w:pPr>
        <w:pStyle w:val="Listaszerbekezds"/>
        <w:ind w:left="0"/>
        <w:jc w:val="both"/>
        <w:rPr>
          <w:rFonts w:cs="Tahoma"/>
          <w:color w:val="222222"/>
        </w:rPr>
      </w:pPr>
      <w:r w:rsidRPr="00771A0E">
        <w:rPr>
          <w:rFonts w:cs="Tahoma"/>
          <w:color w:val="222222"/>
        </w:rPr>
        <w:t>5. Irodánk biztosítja, hogy az érintett adatokba kizárólag a feladat ellátásában közreműködő alkalmazottak</w:t>
      </w:r>
      <w:r w:rsidR="00EB3031" w:rsidRPr="00771A0E">
        <w:rPr>
          <w:rFonts w:cs="Tahoma"/>
          <w:color w:val="222222"/>
        </w:rPr>
        <w:t xml:space="preserve"> nyerjenek betekintést. Valamint Irodánk rendelkezik megfelelő védelemmel az egyes számítógépek illetve a számítógépes hálózat egészére vonatkozóan.</w:t>
      </w:r>
      <w:r w:rsidRPr="00771A0E">
        <w:rPr>
          <w:rFonts w:cs="Tahoma"/>
          <w:color w:val="222222"/>
        </w:rPr>
        <w:t xml:space="preserve"> </w:t>
      </w:r>
    </w:p>
    <w:p w:rsidR="006E0006" w:rsidRPr="00771A0E" w:rsidRDefault="006E0006" w:rsidP="008E0EF3">
      <w:pPr>
        <w:pStyle w:val="Listaszerbekezds"/>
        <w:ind w:left="0"/>
        <w:jc w:val="both"/>
        <w:rPr>
          <w:rFonts w:cs="Tahoma"/>
          <w:color w:val="222222"/>
        </w:rPr>
      </w:pPr>
    </w:p>
    <w:p w:rsidR="006E0006" w:rsidRPr="00771A0E" w:rsidRDefault="006E0006" w:rsidP="008E0EF3">
      <w:pPr>
        <w:pStyle w:val="Cmsor11"/>
        <w:jc w:val="both"/>
        <w:outlineLvl w:val="0"/>
      </w:pPr>
      <w:bookmarkStart w:id="9" w:name="_Toc431820721"/>
      <w:r w:rsidRPr="00771A0E">
        <w:t>Titoktartási kötelezettség</w:t>
      </w:r>
      <w:bookmarkEnd w:id="9"/>
    </w:p>
    <w:p w:rsidR="00771A0E" w:rsidRPr="00771A0E" w:rsidRDefault="00771A0E" w:rsidP="008E0EF3">
      <w:pPr>
        <w:pStyle w:val="Cmsor11"/>
        <w:numPr>
          <w:ilvl w:val="0"/>
          <w:numId w:val="0"/>
        </w:numPr>
        <w:jc w:val="both"/>
        <w:rPr>
          <w:b w:val="0"/>
        </w:rPr>
      </w:pPr>
    </w:p>
    <w:p w:rsidR="00771A0E" w:rsidRDefault="00771A0E" w:rsidP="008E0EF3">
      <w:pPr>
        <w:pStyle w:val="Cmsor11"/>
        <w:numPr>
          <w:ilvl w:val="0"/>
          <w:numId w:val="0"/>
        </w:numPr>
        <w:jc w:val="both"/>
        <w:rPr>
          <w:b w:val="0"/>
        </w:rPr>
      </w:pPr>
      <w:r w:rsidRPr="00771A0E">
        <w:rPr>
          <w:b w:val="0"/>
        </w:rPr>
        <w:t xml:space="preserve">1.  A </w:t>
      </w:r>
      <w:r w:rsidR="006A5C0E">
        <w:rPr>
          <w:b w:val="0"/>
        </w:rPr>
        <w:t>D</w:t>
      </w:r>
      <w:r w:rsidRPr="00771A0E">
        <w:rPr>
          <w:b w:val="0"/>
        </w:rPr>
        <w:t xml:space="preserve">r. Horváth- Dr. Jakab Ügyvédi Iroda alkalmazottai vállalják, hogy a feladatvégzésük során tudomásukra jutott személyes adatokat </w:t>
      </w:r>
      <w:r>
        <w:rPr>
          <w:b w:val="0"/>
        </w:rPr>
        <w:t xml:space="preserve">időbeli korlátozás nélkül </w:t>
      </w:r>
      <w:r w:rsidRPr="00771A0E">
        <w:rPr>
          <w:b w:val="0"/>
        </w:rPr>
        <w:t>megőrzik</w:t>
      </w:r>
      <w:r>
        <w:rPr>
          <w:b w:val="0"/>
        </w:rPr>
        <w:t>.</w:t>
      </w:r>
      <w:r w:rsidR="00AC4AC7">
        <w:rPr>
          <w:b w:val="0"/>
        </w:rPr>
        <w:t xml:space="preserve"> A munkavállalók kötelezettséget vállalnak arra, hogy az érintett adatokat kizárólag feladataik telj</w:t>
      </w:r>
      <w:r w:rsidR="006A5C0E">
        <w:rPr>
          <w:b w:val="0"/>
        </w:rPr>
        <w:t xml:space="preserve">esítése során használják fel, illetve harmadik személyeknek nem adják ki azokat. </w:t>
      </w:r>
    </w:p>
    <w:p w:rsidR="004B3DEB" w:rsidRDefault="004B3DEB" w:rsidP="008E0EF3">
      <w:pPr>
        <w:jc w:val="both"/>
      </w:pPr>
      <w:r>
        <w:rPr>
          <w:b/>
        </w:rPr>
        <w:br w:type="page"/>
      </w:r>
    </w:p>
    <w:p w:rsidR="0005154D" w:rsidRPr="00771A0E" w:rsidRDefault="00A23508" w:rsidP="008E0EF3">
      <w:pPr>
        <w:pStyle w:val="Cmsor11"/>
        <w:jc w:val="both"/>
        <w:outlineLvl w:val="0"/>
      </w:pPr>
      <w:bookmarkStart w:id="10" w:name="_Toc431820722"/>
      <w:r w:rsidRPr="00771A0E">
        <w:t>Jogellenes adatkezelés következményei</w:t>
      </w:r>
      <w:bookmarkEnd w:id="10"/>
    </w:p>
    <w:p w:rsidR="00A23508" w:rsidRPr="00771A0E" w:rsidRDefault="00A23508" w:rsidP="008E0EF3">
      <w:pPr>
        <w:pStyle w:val="Cmsor12"/>
        <w:jc w:val="both"/>
        <w:outlineLvl w:val="1"/>
      </w:pPr>
      <w:bookmarkStart w:id="11" w:name="_Toc431820723"/>
      <w:r w:rsidRPr="00771A0E">
        <w:t>VI.1. Nemzeti Adatvédelmi és Információszabadság Hatóság előtti eljárás</w:t>
      </w:r>
      <w:bookmarkEnd w:id="11"/>
    </w:p>
    <w:p w:rsidR="00A23508" w:rsidRPr="00771A0E" w:rsidRDefault="00A23508" w:rsidP="008E0EF3">
      <w:pPr>
        <w:pStyle w:val="Cmsor12"/>
        <w:jc w:val="both"/>
        <w:rPr>
          <w:i w:val="0"/>
        </w:rPr>
      </w:pPr>
      <w:r w:rsidRPr="00771A0E">
        <w:rPr>
          <w:i w:val="0"/>
        </w:rPr>
        <w:t>1. A Hatóságnál bejelentéssel bárki vizsgálatot kezdeményezhet arra hivatkozással, hogy személyes adatok kezelésével, illetve a közérdekű adatok vagy a közérdekből nyilvános adatok megismeréséhez fűződő jogok gyakorlásával kapcsolatban jogsérelem következett be, vagy annak közvetlen veszélye fennáll.</w:t>
      </w:r>
    </w:p>
    <w:p w:rsidR="00A23508" w:rsidRPr="00771A0E" w:rsidRDefault="00A23508" w:rsidP="008E0EF3">
      <w:pPr>
        <w:pStyle w:val="Cmsor12"/>
        <w:jc w:val="both"/>
        <w:rPr>
          <w:i w:val="0"/>
        </w:rPr>
      </w:pPr>
      <w:r w:rsidRPr="00771A0E">
        <w:rPr>
          <w:i w:val="0"/>
        </w:rPr>
        <w:t>2. A Hatóság a bejelentés alapján lefolytatott vizsgálatról jelentést készíthet, ha az ügyben a Hatóság által hatósági eljárás vagy bírósági eljárás megindítására nem került sor.</w:t>
      </w:r>
    </w:p>
    <w:p w:rsidR="00A23508" w:rsidRPr="00771A0E" w:rsidRDefault="00A23508" w:rsidP="008E0EF3">
      <w:pPr>
        <w:pStyle w:val="Cmsor12"/>
        <w:jc w:val="both"/>
        <w:rPr>
          <w:i w:val="0"/>
        </w:rPr>
      </w:pPr>
      <w:r w:rsidRPr="00771A0E">
        <w:rPr>
          <w:i w:val="0"/>
        </w:rPr>
        <w:t>3.</w:t>
      </w:r>
      <w:r w:rsidRPr="00771A0E">
        <w:t xml:space="preserve"> </w:t>
      </w:r>
      <w:r w:rsidRPr="00771A0E">
        <w:rPr>
          <w:i w:val="0"/>
        </w:rPr>
        <w:t>A személyes adatok védelméhez való jog érvényesülése érdekében a Hatóság adatvédelmi hatósági eljárást indíthat, illetve indít. Az eljárás hatósági határozattal járul.</w:t>
      </w:r>
    </w:p>
    <w:p w:rsidR="0005154D" w:rsidRDefault="00A23508" w:rsidP="008E0EF3">
      <w:pPr>
        <w:pStyle w:val="Cmsor12"/>
        <w:tabs>
          <w:tab w:val="center" w:pos="7088"/>
        </w:tabs>
        <w:jc w:val="both"/>
        <w:outlineLvl w:val="1"/>
      </w:pPr>
      <w:bookmarkStart w:id="12" w:name="_Toc431820724"/>
      <w:r>
        <w:t xml:space="preserve">VI.2. </w:t>
      </w:r>
      <w:r w:rsidR="0005154D">
        <w:t>Bírósági jogérvényesítés</w:t>
      </w:r>
      <w:bookmarkEnd w:id="12"/>
    </w:p>
    <w:p w:rsidR="0005154D" w:rsidRPr="0005154D" w:rsidRDefault="0005154D" w:rsidP="008E0EF3">
      <w:pPr>
        <w:pStyle w:val="Cmsor11"/>
        <w:numPr>
          <w:ilvl w:val="0"/>
          <w:numId w:val="0"/>
        </w:numPr>
        <w:jc w:val="both"/>
        <w:rPr>
          <w:b w:val="0"/>
        </w:rPr>
      </w:pPr>
      <w:r>
        <w:rPr>
          <w:b w:val="0"/>
        </w:rPr>
        <w:t xml:space="preserve">1. </w:t>
      </w:r>
      <w:r w:rsidRPr="0005154D">
        <w:rPr>
          <w:b w:val="0"/>
        </w:rPr>
        <w:t>Az érintett a jogainak megsértése esetén</w:t>
      </w:r>
      <w:r w:rsidR="00A23508">
        <w:rPr>
          <w:b w:val="0"/>
        </w:rPr>
        <w:t xml:space="preserve"> </w:t>
      </w:r>
      <w:r w:rsidRPr="0005154D">
        <w:rPr>
          <w:b w:val="0"/>
        </w:rPr>
        <w:t xml:space="preserve">az adatkezelő ellen bírósághoz fordulhat. </w:t>
      </w:r>
    </w:p>
    <w:p w:rsidR="0005154D" w:rsidRPr="0005154D" w:rsidRDefault="0005154D" w:rsidP="008E0EF3">
      <w:pPr>
        <w:pStyle w:val="Cmsor11"/>
        <w:numPr>
          <w:ilvl w:val="0"/>
          <w:numId w:val="0"/>
        </w:numPr>
        <w:ind w:left="360"/>
        <w:jc w:val="both"/>
        <w:rPr>
          <w:b w:val="0"/>
        </w:rPr>
      </w:pPr>
    </w:p>
    <w:p w:rsidR="0005154D" w:rsidRDefault="0005154D" w:rsidP="008E0EF3">
      <w:pPr>
        <w:pStyle w:val="Cmsor11"/>
        <w:jc w:val="both"/>
        <w:outlineLvl w:val="0"/>
      </w:pPr>
      <w:bookmarkStart w:id="13" w:name="_Toc431820725"/>
      <w:r>
        <w:t>Belső adatvédelmi felelős</w:t>
      </w:r>
      <w:bookmarkStart w:id="14" w:name="_GoBack"/>
      <w:bookmarkEnd w:id="13"/>
      <w:bookmarkEnd w:id="14"/>
    </w:p>
    <w:p w:rsidR="00A23508" w:rsidRDefault="00A23508" w:rsidP="008E0EF3">
      <w:pPr>
        <w:pStyle w:val="Cmsor11"/>
        <w:numPr>
          <w:ilvl w:val="0"/>
          <w:numId w:val="0"/>
        </w:numPr>
        <w:ind w:left="1080" w:hanging="720"/>
        <w:jc w:val="both"/>
      </w:pPr>
    </w:p>
    <w:p w:rsidR="0005154D" w:rsidRDefault="00A23508" w:rsidP="003250DE">
      <w:pPr>
        <w:pStyle w:val="Cmsor11"/>
        <w:numPr>
          <w:ilvl w:val="0"/>
          <w:numId w:val="0"/>
        </w:numPr>
        <w:ind w:left="-11"/>
        <w:jc w:val="both"/>
        <w:rPr>
          <w:b w:val="0"/>
        </w:rPr>
      </w:pPr>
      <w:r>
        <w:rPr>
          <w:b w:val="0"/>
        </w:rPr>
        <w:t xml:space="preserve">1. </w:t>
      </w:r>
      <w:r w:rsidR="0005154D" w:rsidRPr="0005154D">
        <w:rPr>
          <w:b w:val="0"/>
        </w:rPr>
        <w:t>Irodánk e Szabályzat és a vonatkozó jogszabályok betartása érdekében belső adatvédelmi felelőst nevez ki.</w:t>
      </w:r>
    </w:p>
    <w:p w:rsidR="00A23508" w:rsidRPr="0005154D" w:rsidRDefault="00A23508" w:rsidP="003250DE">
      <w:pPr>
        <w:pStyle w:val="Cmsor11"/>
        <w:numPr>
          <w:ilvl w:val="0"/>
          <w:numId w:val="0"/>
        </w:numPr>
        <w:ind w:left="-11"/>
        <w:jc w:val="both"/>
        <w:rPr>
          <w:b w:val="0"/>
        </w:rPr>
      </w:pPr>
    </w:p>
    <w:p w:rsidR="0005154D" w:rsidRPr="0005154D" w:rsidRDefault="00A23508" w:rsidP="003250DE">
      <w:pPr>
        <w:pStyle w:val="Cmsor11"/>
        <w:numPr>
          <w:ilvl w:val="0"/>
          <w:numId w:val="0"/>
        </w:numPr>
        <w:spacing w:after="0"/>
        <w:jc w:val="both"/>
        <w:rPr>
          <w:b w:val="0"/>
        </w:rPr>
      </w:pPr>
      <w:r>
        <w:rPr>
          <w:b w:val="0"/>
        </w:rPr>
        <w:t xml:space="preserve">2. </w:t>
      </w:r>
      <w:r w:rsidR="0005154D" w:rsidRPr="0005154D">
        <w:rPr>
          <w:b w:val="0"/>
        </w:rPr>
        <w:t>A belső adatvédelmi felelős</w:t>
      </w:r>
    </w:p>
    <w:p w:rsidR="0005154D" w:rsidRPr="00A23508" w:rsidRDefault="0005154D" w:rsidP="003250DE">
      <w:pPr>
        <w:spacing w:after="0" w:line="240" w:lineRule="auto"/>
        <w:ind w:left="360"/>
        <w:jc w:val="both"/>
        <w:rPr>
          <w:rFonts w:eastAsia="Times New Roman" w:cs="Tahoma"/>
          <w:color w:val="222222"/>
          <w:szCs w:val="24"/>
          <w:lang w:eastAsia="hu-HU"/>
        </w:rPr>
      </w:pPr>
      <w:proofErr w:type="gramStart"/>
      <w:r w:rsidRPr="00A23508">
        <w:rPr>
          <w:rFonts w:eastAsia="Times New Roman" w:cs="Tahoma"/>
          <w:i/>
          <w:iCs/>
          <w:color w:val="222222"/>
          <w:szCs w:val="24"/>
          <w:lang w:eastAsia="hu-HU"/>
        </w:rPr>
        <w:t>a</w:t>
      </w:r>
      <w:proofErr w:type="gramEnd"/>
      <w:r w:rsidRPr="00A23508">
        <w:rPr>
          <w:rFonts w:eastAsia="Times New Roman" w:cs="Tahoma"/>
          <w:i/>
          <w:iCs/>
          <w:color w:val="222222"/>
          <w:szCs w:val="24"/>
          <w:lang w:eastAsia="hu-HU"/>
        </w:rPr>
        <w:t xml:space="preserve">) </w:t>
      </w:r>
      <w:r w:rsidRPr="00A23508">
        <w:rPr>
          <w:rFonts w:eastAsia="Times New Roman" w:cs="Tahoma"/>
          <w:color w:val="222222"/>
          <w:szCs w:val="24"/>
          <w:lang w:eastAsia="hu-HU"/>
        </w:rPr>
        <w:t>közreműködik, illetve segítséget nyújt az adatkezeléssel összefüggő döntések meghozatalában, valamint az érintettek jogainak biztosításában;</w:t>
      </w:r>
    </w:p>
    <w:p w:rsidR="0005154D" w:rsidRPr="00A23508" w:rsidRDefault="0005154D" w:rsidP="003250DE">
      <w:pPr>
        <w:spacing w:after="0" w:line="240" w:lineRule="auto"/>
        <w:ind w:left="360"/>
        <w:jc w:val="both"/>
        <w:rPr>
          <w:rFonts w:eastAsia="Times New Roman" w:cs="Tahoma"/>
          <w:color w:val="222222"/>
          <w:szCs w:val="24"/>
          <w:lang w:eastAsia="hu-HU"/>
        </w:rPr>
      </w:pPr>
      <w:r w:rsidRPr="00A23508">
        <w:rPr>
          <w:rFonts w:eastAsia="Times New Roman" w:cs="Tahoma"/>
          <w:i/>
          <w:iCs/>
          <w:color w:val="222222"/>
          <w:szCs w:val="24"/>
          <w:lang w:eastAsia="hu-HU"/>
        </w:rPr>
        <w:t xml:space="preserve">b) </w:t>
      </w:r>
      <w:r w:rsidRPr="00A23508">
        <w:rPr>
          <w:rFonts w:eastAsia="Times New Roman" w:cs="Tahoma"/>
          <w:color w:val="222222"/>
          <w:szCs w:val="24"/>
          <w:lang w:eastAsia="hu-HU"/>
        </w:rPr>
        <w:t>ellenőrzi e törvény és az adatkezelésre vonatkozó más jogszabályok, valamint a belső adatvédelmi és adatbiztonsági szabályzatok rendelkezéseinek és az adatbiztonsági követelményeknek a megtartását;</w:t>
      </w:r>
    </w:p>
    <w:p w:rsidR="0005154D" w:rsidRPr="00A23508" w:rsidRDefault="0005154D" w:rsidP="003250DE">
      <w:pPr>
        <w:spacing w:after="0" w:line="240" w:lineRule="auto"/>
        <w:ind w:left="360"/>
        <w:jc w:val="both"/>
        <w:rPr>
          <w:rFonts w:eastAsia="Times New Roman" w:cs="Tahoma"/>
          <w:color w:val="222222"/>
          <w:szCs w:val="24"/>
          <w:lang w:eastAsia="hu-HU"/>
        </w:rPr>
      </w:pPr>
      <w:r w:rsidRPr="00A23508">
        <w:rPr>
          <w:rFonts w:eastAsia="Times New Roman" w:cs="Tahoma"/>
          <w:i/>
          <w:iCs/>
          <w:color w:val="222222"/>
          <w:szCs w:val="24"/>
          <w:lang w:eastAsia="hu-HU"/>
        </w:rPr>
        <w:t xml:space="preserve">c) </w:t>
      </w:r>
      <w:r w:rsidRPr="00A23508">
        <w:rPr>
          <w:rFonts w:eastAsia="Times New Roman" w:cs="Tahoma"/>
          <w:color w:val="222222"/>
          <w:szCs w:val="24"/>
          <w:lang w:eastAsia="hu-HU"/>
        </w:rPr>
        <w:t>kivizsgálja a hozzá érkezett bejelentéseket, jogosulatlan adatkezelés észlelése esetén annak megszüntetésére hívja fel az adatkezelőt vagy az adatfeldolgozót;</w:t>
      </w:r>
    </w:p>
    <w:p w:rsidR="0005154D" w:rsidRPr="00A23508" w:rsidRDefault="0005154D" w:rsidP="003250DE">
      <w:pPr>
        <w:spacing w:after="0" w:line="240" w:lineRule="auto"/>
        <w:ind w:left="360"/>
        <w:jc w:val="both"/>
        <w:rPr>
          <w:rFonts w:eastAsia="Times New Roman" w:cs="Tahoma"/>
          <w:color w:val="222222"/>
          <w:szCs w:val="24"/>
          <w:lang w:eastAsia="hu-HU"/>
        </w:rPr>
      </w:pPr>
      <w:r w:rsidRPr="00A23508">
        <w:rPr>
          <w:rFonts w:eastAsia="Times New Roman" w:cs="Tahoma"/>
          <w:i/>
          <w:iCs/>
          <w:color w:val="222222"/>
          <w:szCs w:val="24"/>
          <w:lang w:eastAsia="hu-HU"/>
        </w:rPr>
        <w:t xml:space="preserve">d) </w:t>
      </w:r>
      <w:r w:rsidRPr="00A23508">
        <w:rPr>
          <w:rFonts w:eastAsia="Times New Roman" w:cs="Tahoma"/>
          <w:color w:val="222222"/>
          <w:szCs w:val="24"/>
          <w:lang w:eastAsia="hu-HU"/>
        </w:rPr>
        <w:t>elkészíti a belső adatvédelmi és adatbiztonsági szabályzatot;</w:t>
      </w:r>
    </w:p>
    <w:p w:rsidR="0005154D" w:rsidRPr="00A23508" w:rsidRDefault="0005154D" w:rsidP="003250DE">
      <w:pPr>
        <w:spacing w:after="0" w:line="240" w:lineRule="auto"/>
        <w:ind w:left="360"/>
        <w:jc w:val="both"/>
        <w:rPr>
          <w:rFonts w:eastAsia="Times New Roman" w:cs="Tahoma"/>
          <w:color w:val="222222"/>
          <w:szCs w:val="24"/>
          <w:lang w:eastAsia="hu-HU"/>
        </w:rPr>
      </w:pPr>
      <w:proofErr w:type="gramStart"/>
      <w:r w:rsidRPr="00A23508">
        <w:rPr>
          <w:rFonts w:eastAsia="Times New Roman" w:cs="Tahoma"/>
          <w:i/>
          <w:iCs/>
          <w:color w:val="222222"/>
          <w:szCs w:val="24"/>
          <w:lang w:eastAsia="hu-HU"/>
        </w:rPr>
        <w:t>e</w:t>
      </w:r>
      <w:proofErr w:type="gramEnd"/>
      <w:r w:rsidRPr="00A23508">
        <w:rPr>
          <w:rFonts w:eastAsia="Times New Roman" w:cs="Tahoma"/>
          <w:i/>
          <w:iCs/>
          <w:color w:val="222222"/>
          <w:szCs w:val="24"/>
          <w:lang w:eastAsia="hu-HU"/>
        </w:rPr>
        <w:t xml:space="preserve">) </w:t>
      </w:r>
      <w:r w:rsidRPr="00A23508">
        <w:rPr>
          <w:rFonts w:eastAsia="Times New Roman" w:cs="Tahoma"/>
          <w:color w:val="222222"/>
          <w:szCs w:val="24"/>
          <w:lang w:eastAsia="hu-HU"/>
        </w:rPr>
        <w:t>vezeti a belső adatvédelmi nyilvántartást;</w:t>
      </w:r>
    </w:p>
    <w:p w:rsidR="0005154D" w:rsidRPr="00A23508" w:rsidRDefault="0005154D" w:rsidP="003250DE">
      <w:pPr>
        <w:spacing w:after="0" w:line="240" w:lineRule="auto"/>
        <w:ind w:left="360"/>
        <w:jc w:val="both"/>
        <w:rPr>
          <w:rFonts w:eastAsia="Times New Roman" w:cs="Tahoma"/>
          <w:color w:val="222222"/>
          <w:szCs w:val="24"/>
          <w:lang w:eastAsia="hu-HU"/>
        </w:rPr>
      </w:pPr>
      <w:proofErr w:type="gramStart"/>
      <w:r w:rsidRPr="00A23508">
        <w:rPr>
          <w:rFonts w:eastAsia="Times New Roman" w:cs="Tahoma"/>
          <w:i/>
          <w:iCs/>
          <w:color w:val="222222"/>
          <w:szCs w:val="24"/>
          <w:lang w:eastAsia="hu-HU"/>
        </w:rPr>
        <w:t>f</w:t>
      </w:r>
      <w:proofErr w:type="gramEnd"/>
      <w:r w:rsidRPr="00A23508">
        <w:rPr>
          <w:rFonts w:eastAsia="Times New Roman" w:cs="Tahoma"/>
          <w:i/>
          <w:iCs/>
          <w:color w:val="222222"/>
          <w:szCs w:val="24"/>
          <w:lang w:eastAsia="hu-HU"/>
        </w:rPr>
        <w:t xml:space="preserve">) </w:t>
      </w:r>
      <w:r w:rsidRPr="00A23508">
        <w:rPr>
          <w:rFonts w:eastAsia="Times New Roman" w:cs="Tahoma"/>
          <w:color w:val="222222"/>
          <w:szCs w:val="24"/>
          <w:lang w:eastAsia="hu-HU"/>
        </w:rPr>
        <w:t>gondoskodik az adatvédelmi ismeretek oktatásáról.</w:t>
      </w:r>
    </w:p>
    <w:p w:rsidR="004A7346" w:rsidRPr="004A7346" w:rsidRDefault="0005154D" w:rsidP="003250DE">
      <w:pPr>
        <w:pStyle w:val="Cmsor11"/>
        <w:numPr>
          <w:ilvl w:val="0"/>
          <w:numId w:val="0"/>
        </w:numPr>
        <w:ind w:left="1080" w:hanging="720"/>
        <w:jc w:val="both"/>
        <w:rPr>
          <w:b w:val="0"/>
        </w:rPr>
      </w:pPr>
      <w:r w:rsidRPr="00A23508">
        <w:t xml:space="preserve"> </w:t>
      </w:r>
    </w:p>
    <w:p w:rsidR="00F42D12" w:rsidRDefault="00F42D12" w:rsidP="008E0EF3">
      <w:pPr>
        <w:pStyle w:val="Cmsor11"/>
        <w:jc w:val="both"/>
        <w:outlineLvl w:val="0"/>
      </w:pPr>
      <w:bookmarkStart w:id="15" w:name="_Toc431820726"/>
      <w:r>
        <w:t>Záró rendelkezések</w:t>
      </w:r>
      <w:bookmarkEnd w:id="15"/>
    </w:p>
    <w:p w:rsidR="00A23508" w:rsidRDefault="00A23508" w:rsidP="008E0EF3">
      <w:pPr>
        <w:pStyle w:val="Cmsor11"/>
        <w:numPr>
          <w:ilvl w:val="0"/>
          <w:numId w:val="0"/>
        </w:numPr>
        <w:jc w:val="both"/>
      </w:pPr>
    </w:p>
    <w:p w:rsidR="00A23508" w:rsidRDefault="00A23508" w:rsidP="008E0EF3">
      <w:pPr>
        <w:pStyle w:val="Cmsor11"/>
        <w:numPr>
          <w:ilvl w:val="0"/>
          <w:numId w:val="0"/>
        </w:numPr>
        <w:jc w:val="both"/>
        <w:rPr>
          <w:b w:val="0"/>
        </w:rPr>
      </w:pPr>
      <w:r>
        <w:rPr>
          <w:b w:val="0"/>
        </w:rPr>
        <w:t>E Szab</w:t>
      </w:r>
      <w:r w:rsidR="00061DF9">
        <w:rPr>
          <w:b w:val="0"/>
        </w:rPr>
        <w:t>ályzat 2012</w:t>
      </w:r>
      <w:r>
        <w:rPr>
          <w:b w:val="0"/>
        </w:rPr>
        <w:t>. október 2-án lép hatályba.</w:t>
      </w:r>
    </w:p>
    <w:p w:rsidR="00AB0A14" w:rsidRDefault="00AB0A14" w:rsidP="008E0EF3">
      <w:pPr>
        <w:pStyle w:val="Cmsor11"/>
        <w:numPr>
          <w:ilvl w:val="0"/>
          <w:numId w:val="0"/>
        </w:numPr>
        <w:jc w:val="both"/>
        <w:rPr>
          <w:b w:val="0"/>
        </w:rPr>
      </w:pPr>
    </w:p>
    <w:p w:rsidR="00AB0A14" w:rsidRDefault="00AB0A14" w:rsidP="008E0EF3">
      <w:pPr>
        <w:pStyle w:val="Cmsor11"/>
        <w:numPr>
          <w:ilvl w:val="0"/>
          <w:numId w:val="0"/>
        </w:numPr>
        <w:jc w:val="both"/>
        <w:rPr>
          <w:b w:val="0"/>
        </w:rPr>
      </w:pPr>
      <w:r>
        <w:rPr>
          <w:b w:val="0"/>
        </w:rPr>
        <w:t>Kelt: Budapest, 2012. október 1.</w:t>
      </w:r>
    </w:p>
    <w:p w:rsidR="00203A55" w:rsidRDefault="00203A55" w:rsidP="008E0EF3">
      <w:pPr>
        <w:pStyle w:val="Cmsor11"/>
        <w:numPr>
          <w:ilvl w:val="0"/>
          <w:numId w:val="0"/>
        </w:numPr>
        <w:jc w:val="both"/>
        <w:rPr>
          <w:b w:val="0"/>
        </w:rPr>
      </w:pPr>
    </w:p>
    <w:p w:rsidR="00203A55" w:rsidRDefault="00203A55" w:rsidP="008E0EF3">
      <w:pPr>
        <w:pStyle w:val="Cmsor11"/>
        <w:numPr>
          <w:ilvl w:val="0"/>
          <w:numId w:val="0"/>
        </w:numPr>
        <w:tabs>
          <w:tab w:val="left" w:pos="5529"/>
        </w:tabs>
        <w:spacing w:before="240" w:after="0"/>
        <w:jc w:val="both"/>
        <w:rPr>
          <w:b w:val="0"/>
        </w:rPr>
      </w:pPr>
      <w:r>
        <w:rPr>
          <w:b w:val="0"/>
        </w:rPr>
        <w:tab/>
      </w:r>
    </w:p>
    <w:p w:rsidR="00203A55" w:rsidRDefault="00203A55" w:rsidP="008E0EF3">
      <w:pPr>
        <w:pStyle w:val="Cmsor11"/>
        <w:numPr>
          <w:ilvl w:val="0"/>
          <w:numId w:val="0"/>
        </w:numPr>
        <w:tabs>
          <w:tab w:val="left" w:pos="5529"/>
        </w:tabs>
        <w:spacing w:before="240" w:after="0"/>
        <w:jc w:val="both"/>
        <w:rPr>
          <w:b w:val="0"/>
        </w:rPr>
      </w:pPr>
      <w:r>
        <w:rPr>
          <w:b w:val="0"/>
        </w:rPr>
        <w:tab/>
        <w:t>Dr. Horváth- Dr. Jakab Ügyvédi Iroda</w:t>
      </w:r>
    </w:p>
    <w:p w:rsidR="00203A55" w:rsidRPr="00A23508" w:rsidRDefault="00203A55" w:rsidP="008E0EF3">
      <w:pPr>
        <w:pStyle w:val="Cmsor11"/>
        <w:numPr>
          <w:ilvl w:val="0"/>
          <w:numId w:val="0"/>
        </w:numPr>
        <w:tabs>
          <w:tab w:val="center" w:pos="7088"/>
        </w:tabs>
        <w:spacing w:after="0"/>
        <w:jc w:val="both"/>
        <w:rPr>
          <w:b w:val="0"/>
        </w:rPr>
      </w:pPr>
      <w:r>
        <w:rPr>
          <w:b w:val="0"/>
        </w:rPr>
        <w:tab/>
        <w:t>Dr. Jakab Sándor ügyvéd</w:t>
      </w:r>
    </w:p>
    <w:sectPr w:rsidR="00203A55" w:rsidRPr="00A23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3552"/>
    <w:multiLevelType w:val="hybridMultilevel"/>
    <w:tmpl w:val="83D860C2"/>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15:restartNumberingAfterBreak="0">
    <w:nsid w:val="08490CCF"/>
    <w:multiLevelType w:val="hybridMultilevel"/>
    <w:tmpl w:val="D95678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E54812"/>
    <w:multiLevelType w:val="hybridMultilevel"/>
    <w:tmpl w:val="E0500D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5C1912"/>
    <w:multiLevelType w:val="hybridMultilevel"/>
    <w:tmpl w:val="7EB8F6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CE36DD7"/>
    <w:multiLevelType w:val="hybridMultilevel"/>
    <w:tmpl w:val="F0581E88"/>
    <w:lvl w:ilvl="0" w:tplc="C9FAEFDC">
      <w:start w:val="1"/>
      <w:numFmt w:val="upperRoman"/>
      <w:pStyle w:val="Cmsor11"/>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87013CD"/>
    <w:multiLevelType w:val="hybridMultilevel"/>
    <w:tmpl w:val="981277B4"/>
    <w:lvl w:ilvl="0" w:tplc="3DB6F41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6" w15:restartNumberingAfterBreak="0">
    <w:nsid w:val="5B964575"/>
    <w:multiLevelType w:val="hybridMultilevel"/>
    <w:tmpl w:val="C1881E1C"/>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7" w15:restartNumberingAfterBreak="0">
    <w:nsid w:val="67B85184"/>
    <w:multiLevelType w:val="hybridMultilevel"/>
    <w:tmpl w:val="03E25C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2061039"/>
    <w:multiLevelType w:val="hybridMultilevel"/>
    <w:tmpl w:val="9E86F2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54362A0"/>
    <w:multiLevelType w:val="hybridMultilevel"/>
    <w:tmpl w:val="D5B88E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E30560B"/>
    <w:multiLevelType w:val="hybridMultilevel"/>
    <w:tmpl w:val="E5CE93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9"/>
  </w:num>
  <w:num w:numId="5">
    <w:abstractNumId w:val="1"/>
  </w:num>
  <w:num w:numId="6">
    <w:abstractNumId w:val="10"/>
  </w:num>
  <w:num w:numId="7">
    <w:abstractNumId w:val="7"/>
  </w:num>
  <w:num w:numId="8">
    <w:abstractNumId w:val="2"/>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12"/>
    <w:rsid w:val="0005154D"/>
    <w:rsid w:val="00061DF9"/>
    <w:rsid w:val="00130CF4"/>
    <w:rsid w:val="001D0623"/>
    <w:rsid w:val="00203A55"/>
    <w:rsid w:val="003250DE"/>
    <w:rsid w:val="003E3105"/>
    <w:rsid w:val="004A7346"/>
    <w:rsid w:val="004B3DEB"/>
    <w:rsid w:val="00573506"/>
    <w:rsid w:val="006A5C0E"/>
    <w:rsid w:val="006E0006"/>
    <w:rsid w:val="00771A0E"/>
    <w:rsid w:val="008812A7"/>
    <w:rsid w:val="008E0EF3"/>
    <w:rsid w:val="00A23508"/>
    <w:rsid w:val="00A93807"/>
    <w:rsid w:val="00AB0A14"/>
    <w:rsid w:val="00AC4AC7"/>
    <w:rsid w:val="00BD3F55"/>
    <w:rsid w:val="00D1321F"/>
    <w:rsid w:val="00DC1761"/>
    <w:rsid w:val="00EB3031"/>
    <w:rsid w:val="00F42D12"/>
    <w:rsid w:val="00F6763C"/>
    <w:rsid w:val="00FD00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5CD8A-7E33-4821-87F7-FD488488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F42D12"/>
    <w:pPr>
      <w:ind w:left="720"/>
      <w:contextualSpacing/>
    </w:pPr>
  </w:style>
  <w:style w:type="paragraph" w:customStyle="1" w:styleId="Cmsor11">
    <w:name w:val="Címsor 11"/>
    <w:basedOn w:val="Listaszerbekezds"/>
    <w:link w:val="Cmsor11Char"/>
    <w:qFormat/>
    <w:rsid w:val="00130CF4"/>
    <w:pPr>
      <w:numPr>
        <w:numId w:val="1"/>
      </w:numPr>
    </w:pPr>
    <w:rPr>
      <w:b/>
    </w:rPr>
  </w:style>
  <w:style w:type="paragraph" w:customStyle="1" w:styleId="Cmsor12">
    <w:name w:val="Címsor 12"/>
    <w:basedOn w:val="Norml"/>
    <w:link w:val="Cmsor12Char"/>
    <w:qFormat/>
    <w:rsid w:val="00130CF4"/>
    <w:rPr>
      <w:i/>
    </w:rPr>
  </w:style>
  <w:style w:type="character" w:customStyle="1" w:styleId="ListaszerbekezdsChar">
    <w:name w:val="Listaszerű bekezdés Char"/>
    <w:basedOn w:val="Bekezdsalapbettpusa"/>
    <w:link w:val="Listaszerbekezds"/>
    <w:uiPriority w:val="34"/>
    <w:rsid w:val="00130CF4"/>
  </w:style>
  <w:style w:type="character" w:customStyle="1" w:styleId="Cmsor11Char">
    <w:name w:val="Címsor 11 Char"/>
    <w:basedOn w:val="ListaszerbekezdsChar"/>
    <w:link w:val="Cmsor11"/>
    <w:rsid w:val="00130CF4"/>
    <w:rPr>
      <w:b/>
    </w:rPr>
  </w:style>
  <w:style w:type="paragraph" w:styleId="TJ1">
    <w:name w:val="toc 1"/>
    <w:basedOn w:val="Norml"/>
    <w:next w:val="Norml"/>
    <w:autoRedefine/>
    <w:uiPriority w:val="39"/>
    <w:unhideWhenUsed/>
    <w:rsid w:val="004B3DEB"/>
    <w:pPr>
      <w:spacing w:after="100"/>
    </w:pPr>
  </w:style>
  <w:style w:type="character" w:customStyle="1" w:styleId="Cmsor12Char">
    <w:name w:val="Címsor 12 Char"/>
    <w:basedOn w:val="Bekezdsalapbettpusa"/>
    <w:link w:val="Cmsor12"/>
    <w:rsid w:val="00130CF4"/>
    <w:rPr>
      <w:i/>
    </w:rPr>
  </w:style>
  <w:style w:type="paragraph" w:styleId="TJ2">
    <w:name w:val="toc 2"/>
    <w:basedOn w:val="Norml"/>
    <w:next w:val="Norml"/>
    <w:autoRedefine/>
    <w:uiPriority w:val="39"/>
    <w:unhideWhenUsed/>
    <w:rsid w:val="004B3DEB"/>
    <w:pPr>
      <w:spacing w:after="100"/>
      <w:ind w:left="220"/>
    </w:pPr>
  </w:style>
  <w:style w:type="character" w:styleId="Hiperhivatkozs">
    <w:name w:val="Hyperlink"/>
    <w:basedOn w:val="Bekezdsalapbettpusa"/>
    <w:uiPriority w:val="99"/>
    <w:unhideWhenUsed/>
    <w:rsid w:val="004B3D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41950">
      <w:bodyDiv w:val="1"/>
      <w:marLeft w:val="0"/>
      <w:marRight w:val="0"/>
      <w:marTop w:val="0"/>
      <w:marBottom w:val="0"/>
      <w:divBdr>
        <w:top w:val="none" w:sz="0" w:space="0" w:color="auto"/>
        <w:left w:val="none" w:sz="0" w:space="0" w:color="auto"/>
        <w:bottom w:val="none" w:sz="0" w:space="0" w:color="auto"/>
        <w:right w:val="none" w:sz="0" w:space="0" w:color="auto"/>
      </w:divBdr>
      <w:divsChild>
        <w:div w:id="1092631687">
          <w:marLeft w:val="0"/>
          <w:marRight w:val="0"/>
          <w:marTop w:val="0"/>
          <w:marBottom w:val="0"/>
          <w:divBdr>
            <w:top w:val="none" w:sz="0" w:space="0" w:color="auto"/>
            <w:left w:val="none" w:sz="0" w:space="0" w:color="auto"/>
            <w:bottom w:val="none" w:sz="0" w:space="0" w:color="auto"/>
            <w:right w:val="none" w:sz="0" w:space="0" w:color="auto"/>
          </w:divBdr>
        </w:div>
      </w:divsChild>
    </w:div>
    <w:div w:id="330109484">
      <w:bodyDiv w:val="1"/>
      <w:marLeft w:val="0"/>
      <w:marRight w:val="0"/>
      <w:marTop w:val="0"/>
      <w:marBottom w:val="0"/>
      <w:divBdr>
        <w:top w:val="none" w:sz="0" w:space="0" w:color="auto"/>
        <w:left w:val="none" w:sz="0" w:space="0" w:color="auto"/>
        <w:bottom w:val="none" w:sz="0" w:space="0" w:color="auto"/>
        <w:right w:val="none" w:sz="0" w:space="0" w:color="auto"/>
      </w:divBdr>
      <w:divsChild>
        <w:div w:id="1293830079">
          <w:marLeft w:val="0"/>
          <w:marRight w:val="0"/>
          <w:marTop w:val="0"/>
          <w:marBottom w:val="0"/>
          <w:divBdr>
            <w:top w:val="none" w:sz="0" w:space="0" w:color="auto"/>
            <w:left w:val="none" w:sz="0" w:space="0" w:color="auto"/>
            <w:bottom w:val="none" w:sz="0" w:space="0" w:color="auto"/>
            <w:right w:val="none" w:sz="0" w:space="0" w:color="auto"/>
          </w:divBdr>
        </w:div>
      </w:divsChild>
    </w:div>
    <w:div w:id="351957855">
      <w:bodyDiv w:val="1"/>
      <w:marLeft w:val="0"/>
      <w:marRight w:val="0"/>
      <w:marTop w:val="0"/>
      <w:marBottom w:val="0"/>
      <w:divBdr>
        <w:top w:val="none" w:sz="0" w:space="0" w:color="auto"/>
        <w:left w:val="none" w:sz="0" w:space="0" w:color="auto"/>
        <w:bottom w:val="none" w:sz="0" w:space="0" w:color="auto"/>
        <w:right w:val="none" w:sz="0" w:space="0" w:color="auto"/>
      </w:divBdr>
      <w:divsChild>
        <w:div w:id="1588617353">
          <w:marLeft w:val="0"/>
          <w:marRight w:val="0"/>
          <w:marTop w:val="0"/>
          <w:marBottom w:val="0"/>
          <w:divBdr>
            <w:top w:val="none" w:sz="0" w:space="0" w:color="auto"/>
            <w:left w:val="none" w:sz="0" w:space="0" w:color="auto"/>
            <w:bottom w:val="none" w:sz="0" w:space="0" w:color="auto"/>
            <w:right w:val="none" w:sz="0" w:space="0" w:color="auto"/>
          </w:divBdr>
        </w:div>
      </w:divsChild>
    </w:div>
    <w:div w:id="537277187">
      <w:bodyDiv w:val="1"/>
      <w:marLeft w:val="0"/>
      <w:marRight w:val="0"/>
      <w:marTop w:val="0"/>
      <w:marBottom w:val="0"/>
      <w:divBdr>
        <w:top w:val="none" w:sz="0" w:space="0" w:color="auto"/>
        <w:left w:val="none" w:sz="0" w:space="0" w:color="auto"/>
        <w:bottom w:val="none" w:sz="0" w:space="0" w:color="auto"/>
        <w:right w:val="none" w:sz="0" w:space="0" w:color="auto"/>
      </w:divBdr>
      <w:divsChild>
        <w:div w:id="1518083819">
          <w:marLeft w:val="0"/>
          <w:marRight w:val="0"/>
          <w:marTop w:val="0"/>
          <w:marBottom w:val="0"/>
          <w:divBdr>
            <w:top w:val="none" w:sz="0" w:space="0" w:color="auto"/>
            <w:left w:val="none" w:sz="0" w:space="0" w:color="auto"/>
            <w:bottom w:val="none" w:sz="0" w:space="0" w:color="auto"/>
            <w:right w:val="none" w:sz="0" w:space="0" w:color="auto"/>
          </w:divBdr>
        </w:div>
      </w:divsChild>
    </w:div>
    <w:div w:id="2076581066">
      <w:bodyDiv w:val="1"/>
      <w:marLeft w:val="0"/>
      <w:marRight w:val="0"/>
      <w:marTop w:val="0"/>
      <w:marBottom w:val="0"/>
      <w:divBdr>
        <w:top w:val="none" w:sz="0" w:space="0" w:color="auto"/>
        <w:left w:val="none" w:sz="0" w:space="0" w:color="auto"/>
        <w:bottom w:val="none" w:sz="0" w:space="0" w:color="auto"/>
        <w:right w:val="none" w:sz="0" w:space="0" w:color="auto"/>
      </w:divBdr>
      <w:divsChild>
        <w:div w:id="239146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50AB-49C3-46E5-805F-8BCFCF5E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1504</Words>
  <Characters>10380</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dc:creator>
  <cp:keywords/>
  <dc:description/>
  <cp:lastModifiedBy>Iroda</cp:lastModifiedBy>
  <cp:revision>19</cp:revision>
  <dcterms:created xsi:type="dcterms:W3CDTF">2015-10-05T10:09:00Z</dcterms:created>
  <dcterms:modified xsi:type="dcterms:W3CDTF">2015-10-07T07:16:00Z</dcterms:modified>
</cp:coreProperties>
</file>